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45" w:rsidRP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7A45">
        <w:rPr>
          <w:rFonts w:ascii="Times New Roman" w:hAnsi="Times New Roman" w:cs="Times New Roman"/>
          <w:sz w:val="24"/>
          <w:szCs w:val="24"/>
        </w:rPr>
        <w:t>Утверждена</w:t>
      </w:r>
    </w:p>
    <w:p w:rsidR="00117A45" w:rsidRP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7A45">
        <w:rPr>
          <w:rFonts w:ascii="Times New Roman" w:hAnsi="Times New Roman" w:cs="Times New Roman"/>
          <w:sz w:val="24"/>
          <w:szCs w:val="24"/>
        </w:rPr>
        <w:t xml:space="preserve">постановлением Клинцовской </w:t>
      </w:r>
    </w:p>
    <w:p w:rsidR="00117A45" w:rsidRP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7A45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117A45" w:rsidRDefault="004061C6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2101C">
        <w:rPr>
          <w:rFonts w:ascii="Times New Roman" w:hAnsi="Times New Roman" w:cs="Times New Roman"/>
          <w:sz w:val="24"/>
          <w:szCs w:val="24"/>
        </w:rPr>
        <w:t>25</w:t>
      </w:r>
      <w:r w:rsidR="00CB634D">
        <w:rPr>
          <w:rFonts w:ascii="Times New Roman" w:hAnsi="Times New Roman" w:cs="Times New Roman"/>
          <w:sz w:val="24"/>
          <w:szCs w:val="24"/>
        </w:rPr>
        <w:t xml:space="preserve">» </w:t>
      </w:r>
      <w:r w:rsidR="00D2101C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117A45" w:rsidRPr="00117A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7820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A45" w:rsidRPr="00117A45">
        <w:rPr>
          <w:rFonts w:ascii="Times New Roman" w:hAnsi="Times New Roman" w:cs="Times New Roman"/>
          <w:sz w:val="24"/>
          <w:szCs w:val="24"/>
        </w:rPr>
        <w:t>года №</w:t>
      </w:r>
      <w:r w:rsidR="00CB634D">
        <w:rPr>
          <w:rFonts w:ascii="Times New Roman" w:hAnsi="Times New Roman" w:cs="Times New Roman"/>
          <w:sz w:val="24"/>
          <w:szCs w:val="24"/>
        </w:rPr>
        <w:t xml:space="preserve"> </w:t>
      </w:r>
      <w:r w:rsidR="00D2101C">
        <w:rPr>
          <w:rFonts w:ascii="Times New Roman" w:hAnsi="Times New Roman" w:cs="Times New Roman"/>
          <w:sz w:val="24"/>
          <w:szCs w:val="24"/>
        </w:rPr>
        <w:t>3393</w:t>
      </w: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</w:t>
      </w: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«Управление муниципальными финансами </w:t>
      </w: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C4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«город Клинцы</w:t>
      </w:r>
    </w:p>
    <w:p w:rsidR="00117A45" w:rsidRP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Брянской области» (201</w:t>
      </w:r>
      <w:r w:rsidR="007820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82066">
        <w:rPr>
          <w:rFonts w:ascii="Times New Roman" w:hAnsi="Times New Roman" w:cs="Times New Roman"/>
          <w:sz w:val="24"/>
          <w:szCs w:val="24"/>
        </w:rPr>
        <w:t>2</w:t>
      </w:r>
      <w:r w:rsidR="00F14A08">
        <w:rPr>
          <w:rFonts w:ascii="Times New Roman" w:hAnsi="Times New Roman" w:cs="Times New Roman"/>
          <w:sz w:val="24"/>
          <w:szCs w:val="24"/>
        </w:rPr>
        <w:t>2</w:t>
      </w:r>
      <w:r w:rsidR="0078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117A45" w:rsidRPr="00117A45" w:rsidRDefault="00117A45" w:rsidP="00117A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Default="00117A45" w:rsidP="00117A45">
      <w:pPr>
        <w:pStyle w:val="a3"/>
        <w:jc w:val="right"/>
        <w:rPr>
          <w:rFonts w:ascii="Times New Roman" w:hAnsi="Times New Roman" w:cs="Times New Roman"/>
        </w:rPr>
      </w:pPr>
    </w:p>
    <w:p w:rsidR="00117A45" w:rsidRPr="00F14A08" w:rsidRDefault="00117A45" w:rsidP="00117A4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14A08"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17A45" w:rsidRPr="00F14A08" w:rsidRDefault="00117A45" w:rsidP="00117A4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14A08">
        <w:rPr>
          <w:rFonts w:ascii="Times New Roman" w:hAnsi="Times New Roman" w:cs="Times New Roman"/>
          <w:sz w:val="36"/>
          <w:szCs w:val="36"/>
        </w:rPr>
        <w:t>«Управление муниципальными финансами городского округа «город Клинцы Брянской области»»</w:t>
      </w:r>
    </w:p>
    <w:p w:rsidR="00117A45" w:rsidRPr="00F14A08" w:rsidRDefault="00117A45" w:rsidP="00117A4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14A08">
        <w:rPr>
          <w:rFonts w:ascii="Times New Roman" w:hAnsi="Times New Roman" w:cs="Times New Roman"/>
          <w:sz w:val="36"/>
          <w:szCs w:val="36"/>
        </w:rPr>
        <w:t xml:space="preserve"> (201</w:t>
      </w:r>
      <w:r w:rsidR="00782066" w:rsidRPr="00F14A08">
        <w:rPr>
          <w:rFonts w:ascii="Times New Roman" w:hAnsi="Times New Roman" w:cs="Times New Roman"/>
          <w:sz w:val="36"/>
          <w:szCs w:val="36"/>
        </w:rPr>
        <w:t>5</w:t>
      </w:r>
      <w:r w:rsidRPr="00F14A08">
        <w:rPr>
          <w:rFonts w:ascii="Times New Roman" w:hAnsi="Times New Roman" w:cs="Times New Roman"/>
          <w:sz w:val="36"/>
          <w:szCs w:val="36"/>
        </w:rPr>
        <w:t>-20</w:t>
      </w:r>
      <w:r w:rsidR="00F14A08" w:rsidRPr="00F14A08">
        <w:rPr>
          <w:rFonts w:ascii="Times New Roman" w:hAnsi="Times New Roman" w:cs="Times New Roman"/>
          <w:sz w:val="36"/>
          <w:szCs w:val="36"/>
        </w:rPr>
        <w:t>22</w:t>
      </w:r>
      <w:r w:rsidRPr="00F14A08">
        <w:rPr>
          <w:rFonts w:ascii="Times New Roman" w:hAnsi="Times New Roman" w:cs="Times New Roman"/>
          <w:sz w:val="36"/>
          <w:szCs w:val="36"/>
        </w:rPr>
        <w:t xml:space="preserve"> годы)</w:t>
      </w:r>
    </w:p>
    <w:p w:rsidR="00117A45" w:rsidRPr="00F14A08" w:rsidRDefault="00117A45" w:rsidP="00117A45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F14A08" w:rsidRDefault="00F14A08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4088" w:rsidRDefault="00454088" w:rsidP="00117A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82066" w:rsidRDefault="00117A45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78206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«Управление</w:t>
      </w:r>
      <w:r w:rsidR="007820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муниципальными финансами городского округа</w:t>
      </w: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Клинцы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Брянской области»» (201</w:t>
      </w:r>
      <w:r w:rsidR="0078206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82066">
        <w:rPr>
          <w:rFonts w:ascii="Times New Roman" w:hAnsi="Times New Roman" w:cs="Times New Roman"/>
          <w:b/>
          <w:sz w:val="28"/>
          <w:szCs w:val="28"/>
        </w:rPr>
        <w:t>2</w:t>
      </w:r>
      <w:r w:rsidR="00F14A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годы)</w:t>
      </w:r>
    </w:p>
    <w:p w:rsidR="00CB634D" w:rsidRDefault="00CB634D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A45" w:rsidRDefault="00117A45" w:rsidP="00117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117A45" w:rsidTr="00CB634D">
        <w:trPr>
          <w:cnfStyle w:val="100000000000"/>
        </w:trPr>
        <w:tc>
          <w:tcPr>
            <w:cnfStyle w:val="001000000000"/>
            <w:tcW w:w="4784" w:type="dxa"/>
          </w:tcPr>
          <w:p w:rsidR="00117A45" w:rsidRPr="00660ADF" w:rsidRDefault="00117A45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:rsidR="00117A45" w:rsidRPr="00660ADF" w:rsidRDefault="00263F40" w:rsidP="00117A45">
            <w:pPr>
              <w:pStyle w:val="a3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Клинцовской городской администрации</w:t>
            </w:r>
          </w:p>
        </w:tc>
      </w:tr>
      <w:tr w:rsidR="00117A45" w:rsidTr="00CB634D">
        <w:tc>
          <w:tcPr>
            <w:cnfStyle w:val="001000000000"/>
            <w:tcW w:w="4784" w:type="dxa"/>
          </w:tcPr>
          <w:p w:rsidR="00117A45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117A45" w:rsidRPr="00660ADF" w:rsidRDefault="00263F40" w:rsidP="00117A45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17A45" w:rsidTr="00CB634D">
        <w:tc>
          <w:tcPr>
            <w:cnfStyle w:val="001000000000"/>
            <w:tcW w:w="4784" w:type="dxa"/>
          </w:tcPr>
          <w:p w:rsidR="00117A45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4786" w:type="dxa"/>
          </w:tcPr>
          <w:p w:rsidR="00263F40" w:rsidRPr="00660ADF" w:rsidRDefault="000F59C5" w:rsidP="003B5AFE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17A45" w:rsidTr="00CB634D">
        <w:tc>
          <w:tcPr>
            <w:cnfStyle w:val="001000000000"/>
            <w:tcW w:w="4784" w:type="dxa"/>
          </w:tcPr>
          <w:p w:rsidR="00117A45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</w:tcPr>
          <w:p w:rsidR="00263F40" w:rsidRPr="00660ADF" w:rsidRDefault="00253823" w:rsidP="00411DED">
            <w:pPr>
              <w:pStyle w:val="a3"/>
              <w:numPr>
                <w:ilvl w:val="0"/>
                <w:numId w:val="1"/>
              </w:numPr>
              <w:ind w:left="0" w:firstLine="319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управления в сфере </w:t>
            </w:r>
            <w:r w:rsidR="00A967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</w:p>
        </w:tc>
      </w:tr>
      <w:tr w:rsidR="006641CC" w:rsidTr="00CB634D">
        <w:tc>
          <w:tcPr>
            <w:cnfStyle w:val="001000000000"/>
            <w:tcW w:w="4784" w:type="dxa"/>
          </w:tcPr>
          <w:p w:rsidR="006641CC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</w:tcPr>
          <w:p w:rsidR="00660ADF" w:rsidRPr="00660ADF" w:rsidRDefault="005C3C64" w:rsidP="005C3C64">
            <w:pPr>
              <w:pStyle w:val="a3"/>
              <w:numPr>
                <w:ilvl w:val="0"/>
                <w:numId w:val="2"/>
              </w:numPr>
              <w:ind w:left="-107" w:firstLine="425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8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долгосрочной сбалансированности и устойчивости бюджетной системы городского округа, 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 xml:space="preserve">реалистичность бюджета, </w:t>
            </w:r>
            <w:r w:rsidR="0025382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распределения бюджетных средств</w:t>
            </w:r>
            <w:r w:rsidR="00660ADF" w:rsidRPr="00660A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0ADF" w:rsidRDefault="00D4080F" w:rsidP="005C3C64">
            <w:pPr>
              <w:pStyle w:val="a3"/>
              <w:numPr>
                <w:ilvl w:val="0"/>
                <w:numId w:val="2"/>
              </w:numPr>
              <w:ind w:left="-107" w:firstLine="425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</w:t>
            </w:r>
            <w:proofErr w:type="gramStart"/>
            <w:r w:rsidR="00847FF7">
              <w:rPr>
                <w:rFonts w:ascii="Times New Roman" w:hAnsi="Times New Roman" w:cs="Times New Roman"/>
                <w:sz w:val="28"/>
                <w:szCs w:val="28"/>
              </w:rPr>
              <w:t>качества финансового менеджмента главных распорядителей средств бюджета</w:t>
            </w:r>
            <w:r w:rsidR="00A967D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</w:t>
            </w:r>
            <w:proofErr w:type="gramEnd"/>
            <w:r w:rsidR="00A967DE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 xml:space="preserve">, совершенствование финансового обеспечения деятельности </w:t>
            </w:r>
            <w:r w:rsidR="00A967D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660ADF" w:rsidRPr="00660A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7FF7" w:rsidRPr="00660ADF" w:rsidRDefault="005C3C64" w:rsidP="005C3C64">
            <w:pPr>
              <w:pStyle w:val="a3"/>
              <w:numPr>
                <w:ilvl w:val="0"/>
                <w:numId w:val="2"/>
              </w:numPr>
              <w:ind w:left="-107" w:firstLine="425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08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Повышение прозрачности бюджетной системы;</w:t>
            </w:r>
          </w:p>
          <w:p w:rsidR="00253823" w:rsidRPr="00660ADF" w:rsidRDefault="00D4080F" w:rsidP="005C3C64">
            <w:pPr>
              <w:pStyle w:val="a3"/>
              <w:numPr>
                <w:ilvl w:val="0"/>
                <w:numId w:val="2"/>
              </w:numPr>
              <w:ind w:left="-107" w:firstLine="425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823">
              <w:rPr>
                <w:rFonts w:ascii="Times New Roman" w:hAnsi="Times New Roman" w:cs="Times New Roman"/>
                <w:sz w:val="28"/>
                <w:szCs w:val="28"/>
              </w:rPr>
              <w:t>Развитие системы финансового контроля</w:t>
            </w:r>
          </w:p>
        </w:tc>
      </w:tr>
      <w:tr w:rsidR="006641CC" w:rsidTr="00CB634D">
        <w:tc>
          <w:tcPr>
            <w:cnfStyle w:val="001000000000"/>
            <w:tcW w:w="4784" w:type="dxa"/>
          </w:tcPr>
          <w:p w:rsidR="006641CC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786" w:type="dxa"/>
          </w:tcPr>
          <w:p w:rsidR="006641CC" w:rsidRPr="00660ADF" w:rsidRDefault="00660ADF" w:rsidP="00D2101C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641CC" w:rsidTr="00CB634D">
        <w:tc>
          <w:tcPr>
            <w:cnfStyle w:val="001000000000"/>
            <w:tcW w:w="4784" w:type="dxa"/>
          </w:tcPr>
          <w:p w:rsidR="006641CC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на реализацию муниципальной программы</w:t>
            </w:r>
          </w:p>
        </w:tc>
        <w:tc>
          <w:tcPr>
            <w:tcW w:w="4786" w:type="dxa"/>
          </w:tcPr>
          <w:p w:rsidR="006641CC" w:rsidRPr="00660ADF" w:rsidRDefault="00660ADF" w:rsidP="00117A45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>Общий объем средств, предусмотренных</w:t>
            </w:r>
            <w:r w:rsidR="00CB634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CB634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реализацию муниципальной программы, -</w:t>
            </w:r>
            <w:r w:rsidR="00E02E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115 543 705,70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785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  <w:r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660ADF" w:rsidRPr="00660ADF" w:rsidRDefault="00CB634D" w:rsidP="00117A45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60ADF"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512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12 281 549,06</w:t>
            </w:r>
            <w:r w:rsidR="00586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ADF"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660ADF" w:rsidRDefault="00CB634D" w:rsidP="00586BA3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60ADF" w:rsidRPr="00660ADF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12785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18 688 572,70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782066" w:rsidRDefault="00782066" w:rsidP="00586BA3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15 615 522,87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782066" w:rsidRDefault="00782066" w:rsidP="00586BA3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14 055 997,87 рублей,</w:t>
            </w:r>
          </w:p>
          <w:p w:rsidR="00782066" w:rsidRDefault="00782066" w:rsidP="00586BA3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12 540 926,17 рублей</w:t>
            </w:r>
            <w:r w:rsidR="00D77A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2066" w:rsidRDefault="00782066" w:rsidP="00D2101C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F32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14 697 318,29 рублей,</w:t>
            </w:r>
          </w:p>
          <w:p w:rsidR="00D2101C" w:rsidRDefault="00D2101C" w:rsidP="00D2101C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14 004 130,97 рублей,</w:t>
            </w:r>
          </w:p>
          <w:p w:rsidR="00D2101C" w:rsidRDefault="00D2101C" w:rsidP="00D2101C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13 659 687,77 рубле</w:t>
            </w:r>
            <w:r w:rsidR="00652BE3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:rsidR="00D2101C" w:rsidRPr="00660ADF" w:rsidRDefault="00D2101C" w:rsidP="00D2101C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1CC" w:rsidTr="00CB634D">
        <w:tc>
          <w:tcPr>
            <w:cnfStyle w:val="001000000000"/>
            <w:tcW w:w="4784" w:type="dxa"/>
          </w:tcPr>
          <w:p w:rsidR="006641CC" w:rsidRPr="00660ADF" w:rsidRDefault="006641CC" w:rsidP="00117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0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263F40" w:rsidRPr="00660AD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786" w:type="dxa"/>
          </w:tcPr>
          <w:p w:rsidR="006641CC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задолженности по муниципальным долговым обязательствам (</w:t>
            </w:r>
            <w:r w:rsidR="00847FF7" w:rsidRPr="00454088">
              <w:rPr>
                <w:rFonts w:ascii="Times New Roman" w:hAnsi="Times New Roman" w:cs="Times New Roman"/>
                <w:i/>
                <w:sz w:val="28"/>
                <w:szCs w:val="28"/>
              </w:rPr>
              <w:t>да/нет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782066" w:rsidRDefault="00CB634D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да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да,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да,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да,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да,</w:t>
            </w:r>
          </w:p>
          <w:p w:rsidR="00D2101C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да,</w:t>
            </w:r>
          </w:p>
          <w:p w:rsidR="00847FF7" w:rsidRDefault="00D2101C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да</w:t>
            </w:r>
            <w:r w:rsidR="00CB6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DED" w:rsidRDefault="00411DED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FF7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4A08">
              <w:rPr>
                <w:rFonts w:ascii="Times New Roman" w:hAnsi="Times New Roman" w:cs="Times New Roman"/>
                <w:sz w:val="28"/>
                <w:szCs w:val="28"/>
              </w:rPr>
              <w:t>ревышение</w:t>
            </w:r>
            <w:proofErr w:type="gramStart"/>
            <w:r w:rsidR="00F14A08" w:rsidRPr="00F14A0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14A08">
              <w:rPr>
                <w:rFonts w:ascii="Times New Roman" w:hAnsi="Times New Roman" w:cs="Times New Roman"/>
                <w:sz w:val="28"/>
                <w:szCs w:val="28"/>
              </w:rPr>
              <w:t>тавки</w:t>
            </w:r>
            <w:r w:rsidR="00F14A08" w:rsidRPr="00F14A0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r w:rsidR="00F14A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F1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4A08">
              <w:rPr>
                <w:rFonts w:ascii="Times New Roman" w:hAnsi="Times New Roman" w:cs="Times New Roman"/>
                <w:sz w:val="28"/>
                <w:szCs w:val="28"/>
              </w:rPr>
              <w:t>привлеченным</w:t>
            </w:r>
            <w:r w:rsidR="00F14A08" w:rsidRPr="00F14A0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</w:t>
            </w:r>
            <w:r w:rsidR="00847FF7" w:rsidRPr="00F14A08">
              <w:rPr>
                <w:rFonts w:ascii="Times New Roman" w:hAnsi="Times New Roman" w:cs="Times New Roman"/>
                <w:sz w:val="28"/>
                <w:szCs w:val="28"/>
              </w:rPr>
              <w:t>кредитам</w:t>
            </w:r>
            <w:proofErr w:type="spellEnd"/>
            <w:r w:rsidR="00847FF7" w:rsidRPr="00F14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A0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FF7" w:rsidRPr="00F14A08">
              <w:rPr>
                <w:rFonts w:ascii="Times New Roman" w:hAnsi="Times New Roman" w:cs="Times New Roman"/>
                <w:sz w:val="28"/>
                <w:szCs w:val="28"/>
              </w:rPr>
              <w:t>оммерческих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 xml:space="preserve"> банков над ставкой рефинансирования Банка России (</w:t>
            </w:r>
            <w:r w:rsidR="00847FF7" w:rsidRPr="00454088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782066" w:rsidRDefault="00CB634D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не более 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не более 5%,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не более 5%,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не более 5%,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не более 5%,</w:t>
            </w:r>
          </w:p>
          <w:p w:rsidR="00847FF7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не более 5%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 – не более 5%,</w:t>
            </w:r>
          </w:p>
          <w:p w:rsidR="00D2101C" w:rsidRDefault="00652BE3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– не более 5%.</w:t>
            </w:r>
          </w:p>
          <w:p w:rsidR="00E6659F" w:rsidRDefault="00E6659F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088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оля просроченной кредиторской задолженности по состоянию на конец отчетного периода в общем объеме расходов бюджета городского округа</w:t>
            </w:r>
            <w:proofErr w:type="gramStart"/>
            <w:r w:rsidR="00847F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47FF7" w:rsidRPr="00454088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="00847FF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proofErr w:type="gramEnd"/>
          </w:p>
          <w:p w:rsidR="00411DED" w:rsidRDefault="00847FF7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не более 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 xml:space="preserve"> 0,1 %,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не более 0,1%,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не более 0,1 %,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не более 0,1 %,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не более 0,1%,</w:t>
            </w:r>
          </w:p>
          <w:p w:rsidR="00D2101C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не более 0,1%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 – не более 0,1%,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 не более 0,1%.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738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B43738">
              <w:rPr>
                <w:rFonts w:ascii="Times New Roman" w:hAnsi="Times New Roman" w:cs="Times New Roman"/>
                <w:sz w:val="28"/>
                <w:szCs w:val="28"/>
              </w:rPr>
              <w:t xml:space="preserve">тклонение фактического </w:t>
            </w:r>
            <w:r w:rsidR="00094425">
              <w:rPr>
                <w:rFonts w:ascii="Times New Roman" w:hAnsi="Times New Roman" w:cs="Times New Roman"/>
                <w:sz w:val="28"/>
                <w:szCs w:val="28"/>
              </w:rPr>
              <w:t>объема налоговых и неналоговых доходов за отчетный период от утвержденного плана</w:t>
            </w:r>
            <w:proofErr w:type="gramStart"/>
            <w:r w:rsidR="00B4373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B43738" w:rsidRPr="00454088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="00B43738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782066" w:rsidRDefault="00B43738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год – </w:t>
            </w:r>
            <w:r w:rsidR="00C001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94425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C001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442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</w:p>
          <w:p w:rsidR="00782066" w:rsidRDefault="00782066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не более 8%,</w:t>
            </w:r>
          </w:p>
          <w:p w:rsidR="00782066" w:rsidRDefault="00782066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не более 8%,</w:t>
            </w:r>
          </w:p>
          <w:p w:rsidR="00782066" w:rsidRDefault="00782066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не более 8%,</w:t>
            </w:r>
          </w:p>
          <w:p w:rsidR="00782066" w:rsidRDefault="00782066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не более 8%, </w:t>
            </w:r>
          </w:p>
          <w:p w:rsidR="00C0012E" w:rsidRDefault="00782066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не более 8%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 – не более 8%,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 – не более 8%.</w:t>
            </w:r>
          </w:p>
          <w:p w:rsidR="00D2101C" w:rsidRDefault="00D2101C" w:rsidP="00C0012E">
            <w:pPr>
              <w:pStyle w:val="a3"/>
              <w:ind w:left="461" w:hanging="10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DED" w:rsidRDefault="00CB634D" w:rsidP="00CB634D">
            <w:pPr>
              <w:pStyle w:val="a3"/>
              <w:numPr>
                <w:ilvl w:val="0"/>
                <w:numId w:val="13"/>
              </w:numPr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расходов бюджета городского округа, формируемых в рамах программ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(%),</w:t>
            </w:r>
            <w:proofErr w:type="gramEnd"/>
          </w:p>
          <w:p w:rsidR="00D77ACB" w:rsidRDefault="00D77ACB" w:rsidP="00D77ACB">
            <w:pPr>
              <w:pStyle w:val="a3"/>
              <w:ind w:left="36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34D" w:rsidRDefault="00CB634D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95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2066" w:rsidRDefault="00CB634D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95</w:t>
            </w:r>
            <w:r w:rsidR="00782066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</w:p>
          <w:p w:rsidR="00782066" w:rsidRDefault="00782066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96%,</w:t>
            </w:r>
          </w:p>
          <w:p w:rsidR="00782066" w:rsidRDefault="00782066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96%,</w:t>
            </w:r>
          </w:p>
          <w:p w:rsidR="00782066" w:rsidRDefault="00782066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97%,</w:t>
            </w:r>
          </w:p>
          <w:p w:rsidR="00782066" w:rsidRDefault="00782066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99%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  – 99%,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  – 99%.</w:t>
            </w:r>
          </w:p>
          <w:p w:rsidR="00CB634D" w:rsidRDefault="00CB634D" w:rsidP="00CB634D">
            <w:pPr>
              <w:pStyle w:val="a3"/>
              <w:ind w:left="461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738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A31EE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публикации в сети Интернет </w:t>
            </w:r>
            <w:r w:rsidR="00411DED">
              <w:rPr>
                <w:rFonts w:ascii="Times New Roman" w:hAnsi="Times New Roman" w:cs="Times New Roman"/>
                <w:sz w:val="28"/>
                <w:szCs w:val="28"/>
              </w:rPr>
              <w:t xml:space="preserve">решений Клинцовского городского Совета народных депутатов о бюджете городского округа, отчета об исполнении бюджета городского округа </w:t>
            </w:r>
            <w:r w:rsidR="00411DED" w:rsidRPr="00411DED">
              <w:rPr>
                <w:rFonts w:ascii="Times New Roman" w:hAnsi="Times New Roman" w:cs="Times New Roman"/>
                <w:i/>
                <w:sz w:val="28"/>
                <w:szCs w:val="28"/>
              </w:rPr>
              <w:t>(да/нет</w:t>
            </w:r>
            <w:r w:rsidR="00B43738" w:rsidRPr="00411D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B437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2066" w:rsidRDefault="00782066" w:rsidP="00411DED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 w:rsidR="00D210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 </w:t>
            </w:r>
            <w:r w:rsidR="00652B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</w:p>
          <w:p w:rsidR="00D2101C" w:rsidRDefault="00D2101C" w:rsidP="00D2101C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  – </w:t>
            </w:r>
            <w:r w:rsidR="00652B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101C" w:rsidRDefault="00D2101C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738" w:rsidRDefault="00E6659F" w:rsidP="00E6659F">
            <w:pPr>
              <w:pStyle w:val="a3"/>
              <w:numPr>
                <w:ilvl w:val="0"/>
                <w:numId w:val="13"/>
              </w:numPr>
              <w:ind w:left="-106" w:firstLine="466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43738"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proofErr w:type="gramStart"/>
            <w:r w:rsidR="00B43738">
              <w:rPr>
                <w:rFonts w:ascii="Times New Roman" w:hAnsi="Times New Roman" w:cs="Times New Roman"/>
                <w:sz w:val="28"/>
                <w:szCs w:val="28"/>
              </w:rPr>
              <w:t>результатов  оценки качества финансового менеджмента главных распорядителей средств бюджета городского округа</w:t>
            </w:r>
            <w:proofErr w:type="gramEnd"/>
            <w:r w:rsidR="00B43738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их ежегодного рейтинга (</w:t>
            </w:r>
            <w:r w:rsidR="00B43738" w:rsidRPr="00454088">
              <w:rPr>
                <w:rFonts w:ascii="Times New Roman" w:hAnsi="Times New Roman" w:cs="Times New Roman"/>
                <w:i/>
                <w:sz w:val="28"/>
                <w:szCs w:val="28"/>
              </w:rPr>
              <w:t>да/нет</w:t>
            </w:r>
            <w:r w:rsidR="00B43738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да,</w:t>
            </w:r>
          </w:p>
          <w:p w:rsidR="00782066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да,</w:t>
            </w:r>
          </w:p>
          <w:p w:rsidR="00652BE3" w:rsidRDefault="00782066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652BE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 w:rsidR="00652B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2BE3" w:rsidRDefault="00652BE3" w:rsidP="00652BE3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 - да,</w:t>
            </w:r>
          </w:p>
          <w:p w:rsidR="00652BE3" w:rsidRDefault="00652BE3" w:rsidP="00652BE3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год  – да.</w:t>
            </w:r>
          </w:p>
          <w:p w:rsidR="00B80A44" w:rsidRPr="00660ADF" w:rsidRDefault="00B80A44" w:rsidP="00782066">
            <w:pPr>
              <w:pStyle w:val="a3"/>
              <w:ind w:left="-106" w:firstLine="466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A45" w:rsidRDefault="00117A45" w:rsidP="00117A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0ADF" w:rsidRDefault="00660ADF" w:rsidP="00117A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24EB" w:rsidRDefault="002324EB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 финансовое управление Клинцовской городской администрации (далее – финансовое управление).</w:t>
      </w:r>
    </w:p>
    <w:p w:rsidR="006335DA" w:rsidRDefault="006335DA" w:rsidP="0023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24EB" w:rsidRPr="008C5F14" w:rsidRDefault="00E454C5" w:rsidP="0023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5F14">
        <w:rPr>
          <w:sz w:val="28"/>
          <w:szCs w:val="28"/>
        </w:rPr>
        <w:t>В соответствии с решением Клинцовского городского Совета народных депутатов от 14 декабря 2011 года № 5-560 «Об утверждении положения о финансовом управлении Клинцовской городской администрации» ф</w:t>
      </w:r>
      <w:r w:rsidR="002324EB" w:rsidRPr="008C5F14">
        <w:rPr>
          <w:sz w:val="28"/>
          <w:szCs w:val="28"/>
        </w:rPr>
        <w:t xml:space="preserve">инансовое управление Клинцовской городской администрации является функциональным органом Клинцовской городской администрации, обеспечивающим проведение единой финансовой, бюджетной и налоговой политики на территории </w:t>
      </w:r>
      <w:r w:rsidRPr="008C5F14">
        <w:rPr>
          <w:sz w:val="28"/>
          <w:szCs w:val="28"/>
        </w:rPr>
        <w:t>городского округа</w:t>
      </w:r>
      <w:r w:rsidR="002324EB" w:rsidRPr="008C5F14">
        <w:rPr>
          <w:sz w:val="28"/>
          <w:szCs w:val="28"/>
        </w:rPr>
        <w:t>, выполняет функции управления денежными средствами городской казны, совместно с другими участниками бюджетного процесса</w:t>
      </w:r>
      <w:proofErr w:type="gramEnd"/>
      <w:r w:rsidR="002324EB" w:rsidRPr="008C5F14">
        <w:rPr>
          <w:sz w:val="28"/>
          <w:szCs w:val="28"/>
        </w:rPr>
        <w:t xml:space="preserve"> осуществляет бюджетный процесс в </w:t>
      </w:r>
      <w:r w:rsidRPr="008C5F14">
        <w:rPr>
          <w:sz w:val="28"/>
          <w:szCs w:val="28"/>
        </w:rPr>
        <w:t>городском округе</w:t>
      </w:r>
      <w:r w:rsidR="002324EB" w:rsidRPr="008C5F14">
        <w:rPr>
          <w:sz w:val="28"/>
          <w:szCs w:val="28"/>
        </w:rPr>
        <w:t xml:space="preserve">, обеспечивает составление проекта бюджета города Клинцы, организует исполнение бюджета города, а также осуществляет предварительный и текущий </w:t>
      </w:r>
      <w:proofErr w:type="gramStart"/>
      <w:r w:rsidR="002324EB" w:rsidRPr="008C5F14">
        <w:rPr>
          <w:sz w:val="28"/>
          <w:szCs w:val="28"/>
        </w:rPr>
        <w:t>контроль за</w:t>
      </w:r>
      <w:proofErr w:type="gramEnd"/>
      <w:r w:rsidR="002324EB" w:rsidRPr="008C5F14">
        <w:rPr>
          <w:sz w:val="28"/>
          <w:szCs w:val="28"/>
        </w:rPr>
        <w:t xml:space="preserve"> его исполнением.</w:t>
      </w:r>
    </w:p>
    <w:p w:rsidR="00FC3A3F" w:rsidRDefault="00FC3A3F" w:rsidP="00E454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54C5" w:rsidRPr="008C5F14" w:rsidRDefault="00E454C5" w:rsidP="00E454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C5F14">
        <w:rPr>
          <w:rFonts w:eastAsiaTheme="minorHAnsi"/>
          <w:sz w:val="28"/>
          <w:szCs w:val="28"/>
          <w:lang w:eastAsia="en-US"/>
        </w:rPr>
        <w:t xml:space="preserve">Финансовое управление в своей деятельности руководствуется </w:t>
      </w:r>
      <w:hyperlink r:id="rId6" w:history="1">
        <w:r w:rsidRPr="008C5F14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8C5F14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Брянской области, нормативными правовыми актами Брянской областной Думы, администрации Брянской области, постановлениями и распоряжениями Губернатора Брянской области, </w:t>
      </w:r>
      <w:hyperlink r:id="rId7" w:history="1">
        <w:r w:rsidRPr="008C5F14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8C5F14">
        <w:rPr>
          <w:rFonts w:eastAsiaTheme="minorHAnsi"/>
          <w:sz w:val="28"/>
          <w:szCs w:val="28"/>
          <w:lang w:eastAsia="en-US"/>
        </w:rPr>
        <w:t xml:space="preserve"> городского округа "город Клинцы Брянской области", правовыми актами Клинцовского городского Совета народных депутатов</w:t>
      </w:r>
      <w:r w:rsidR="00E6659F">
        <w:rPr>
          <w:rFonts w:eastAsiaTheme="minorHAnsi"/>
          <w:sz w:val="28"/>
          <w:szCs w:val="28"/>
          <w:lang w:eastAsia="en-US"/>
        </w:rPr>
        <w:t>, г</w:t>
      </w:r>
      <w:r w:rsidRPr="008C5F14">
        <w:rPr>
          <w:rFonts w:eastAsiaTheme="minorHAnsi"/>
          <w:sz w:val="28"/>
          <w:szCs w:val="28"/>
          <w:lang w:eastAsia="en-US"/>
        </w:rPr>
        <w:t>лавы городской администрации и настоящим Положением</w:t>
      </w:r>
      <w:r w:rsidR="003136A1" w:rsidRPr="008C5F1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85217" w:rsidRDefault="00485217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5DA" w:rsidRDefault="006335DA" w:rsidP="006335D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85217" w:rsidRPr="008C5F14" w:rsidRDefault="00485217" w:rsidP="0048521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Характеристика текущего состояния системы управления</w:t>
      </w:r>
    </w:p>
    <w:p w:rsidR="00485217" w:rsidRPr="008C5F14" w:rsidRDefault="00485217" w:rsidP="004852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муниципальными финансами городского округа</w:t>
      </w:r>
    </w:p>
    <w:p w:rsidR="00485217" w:rsidRDefault="00485217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35DA" w:rsidRPr="00997AC7" w:rsidRDefault="00042C0E" w:rsidP="00E6659F">
      <w:pPr>
        <w:pStyle w:val="a3"/>
        <w:ind w:firstLine="851"/>
        <w:jc w:val="both"/>
      </w:pPr>
      <w:r w:rsidRPr="008C5F14">
        <w:rPr>
          <w:rFonts w:ascii="Times New Roman" w:hAnsi="Times New Roman" w:cs="Times New Roman"/>
          <w:sz w:val="28"/>
          <w:szCs w:val="28"/>
        </w:rPr>
        <w:t>За 20</w:t>
      </w:r>
      <w:r w:rsidR="00782066">
        <w:rPr>
          <w:rFonts w:ascii="Times New Roman" w:hAnsi="Times New Roman" w:cs="Times New Roman"/>
          <w:sz w:val="28"/>
          <w:szCs w:val="28"/>
        </w:rPr>
        <w:t>10</w:t>
      </w:r>
      <w:r w:rsidRPr="008C5F14">
        <w:rPr>
          <w:rFonts w:ascii="Times New Roman" w:hAnsi="Times New Roman" w:cs="Times New Roman"/>
          <w:sz w:val="28"/>
          <w:szCs w:val="28"/>
        </w:rPr>
        <w:t>-201</w:t>
      </w:r>
      <w:r w:rsidR="00782066">
        <w:rPr>
          <w:rFonts w:ascii="Times New Roman" w:hAnsi="Times New Roman" w:cs="Times New Roman"/>
          <w:sz w:val="28"/>
          <w:szCs w:val="28"/>
        </w:rPr>
        <w:t>3</w:t>
      </w:r>
      <w:r w:rsidRPr="008C5F14">
        <w:rPr>
          <w:rFonts w:ascii="Times New Roman" w:hAnsi="Times New Roman" w:cs="Times New Roman"/>
          <w:sz w:val="28"/>
          <w:szCs w:val="28"/>
        </w:rPr>
        <w:t xml:space="preserve"> годы в сфере управления муниципальными финансами городского округа были достигнуты определенные позитивные изменения</w:t>
      </w:r>
      <w:r w:rsidR="006335DA">
        <w:rPr>
          <w:rFonts w:ascii="Times New Roman" w:hAnsi="Times New Roman" w:cs="Times New Roman"/>
          <w:sz w:val="28"/>
          <w:szCs w:val="28"/>
        </w:rPr>
        <w:t>.</w:t>
      </w:r>
    </w:p>
    <w:p w:rsidR="004E05B4" w:rsidRPr="008C5F14" w:rsidRDefault="00042C0E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="009565DD" w:rsidRPr="008C5F14">
        <w:rPr>
          <w:rFonts w:ascii="Times New Roman" w:hAnsi="Times New Roman" w:cs="Times New Roman"/>
          <w:sz w:val="28"/>
          <w:szCs w:val="28"/>
        </w:rPr>
        <w:t>реформирования муниципальных финансов города</w:t>
      </w:r>
      <w:proofErr w:type="gramEnd"/>
      <w:r w:rsidR="009565DD" w:rsidRPr="008C5F14">
        <w:rPr>
          <w:rFonts w:ascii="Times New Roman" w:hAnsi="Times New Roman" w:cs="Times New Roman"/>
          <w:sz w:val="28"/>
          <w:szCs w:val="28"/>
        </w:rPr>
        <w:t xml:space="preserve"> Клинцы, утвержденной </w:t>
      </w:r>
      <w:r w:rsidR="00FC3A3F">
        <w:rPr>
          <w:rFonts w:ascii="Times New Roman" w:hAnsi="Times New Roman" w:cs="Times New Roman"/>
          <w:sz w:val="28"/>
          <w:szCs w:val="28"/>
        </w:rPr>
        <w:t>р</w:t>
      </w:r>
      <w:r w:rsidR="009565DD" w:rsidRPr="008C5F14">
        <w:rPr>
          <w:rFonts w:ascii="Times New Roman" w:hAnsi="Times New Roman" w:cs="Times New Roman"/>
          <w:sz w:val="28"/>
          <w:szCs w:val="28"/>
        </w:rPr>
        <w:t xml:space="preserve">ешением Клинцовского городского Совета народных депутатов от 15.11.2006 года № 3-1/182 (ред. от 25.12.2007 года) выстроена современная система управления общественными финансами: </w:t>
      </w:r>
    </w:p>
    <w:p w:rsidR="004E05B4" w:rsidRPr="008C5F14" w:rsidRDefault="009565DD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создана целостная </w:t>
      </w:r>
      <w:r w:rsidR="00485217">
        <w:rPr>
          <w:rFonts w:ascii="Times New Roman" w:hAnsi="Times New Roman" w:cs="Times New Roman"/>
          <w:sz w:val="28"/>
          <w:szCs w:val="28"/>
        </w:rPr>
        <w:t>система регулирования бюджетных правоотношений, четко определены статус и полномочия участников бюджетного процесса;</w:t>
      </w:r>
    </w:p>
    <w:p w:rsidR="004E05B4" w:rsidRPr="008C5F14" w:rsidRDefault="009565DD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осуществлен переход от годового к среднесрочному финансовому планированию, в том числе утверждению бюджета городского округа на очередной финансовый год и на плановый период по принципу «скользящей трехлетки»;</w:t>
      </w:r>
    </w:p>
    <w:p w:rsidR="004E05B4" w:rsidRPr="008C5F14" w:rsidRDefault="009565DD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 бюджетный процесс организован с учетом безусловного исполнения всех ранее принятых расходных обязательств, оценки объемов принимаемых обязательств с учетом ресурсных возможностей бюджета городского округа</w:t>
      </w:r>
      <w:r w:rsidR="004E05B4" w:rsidRPr="008C5F14">
        <w:rPr>
          <w:rFonts w:ascii="Times New Roman" w:hAnsi="Times New Roman" w:cs="Times New Roman"/>
          <w:sz w:val="28"/>
          <w:szCs w:val="28"/>
        </w:rPr>
        <w:t>;</w:t>
      </w:r>
    </w:p>
    <w:p w:rsidR="004E05B4" w:rsidRPr="008C5F14" w:rsidRDefault="004E05B4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 </w:t>
      </w:r>
      <w:r w:rsidR="009565DD" w:rsidRPr="008C5F14">
        <w:rPr>
          <w:rFonts w:ascii="Times New Roman" w:hAnsi="Times New Roman" w:cs="Times New Roman"/>
          <w:sz w:val="28"/>
          <w:szCs w:val="28"/>
        </w:rPr>
        <w:t>поэтапного внедрения инструментов бюджетирования, ориентированного на результаты (докладов о результатах и основных направлениях деятельности, ведомственных и долгосрочных целевых программ, обоснований бюджетных ассигнований</w:t>
      </w:r>
      <w:r w:rsidRPr="008C5F14">
        <w:rPr>
          <w:rFonts w:ascii="Times New Roman" w:hAnsi="Times New Roman" w:cs="Times New Roman"/>
          <w:sz w:val="28"/>
          <w:szCs w:val="28"/>
        </w:rPr>
        <w:t>, муниципальных заданий);</w:t>
      </w:r>
    </w:p>
    <w:p w:rsidR="004E05B4" w:rsidRPr="008C5F14" w:rsidRDefault="004E05B4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отказ от нерациональных бюджетных расходов, концентрация бюджетных средств на приоритетных направлениях финансирования, повышение качества предоставляемых бюджетных услуг;</w:t>
      </w:r>
    </w:p>
    <w:p w:rsidR="00C60646" w:rsidRPr="008C5F14" w:rsidRDefault="004E05B4" w:rsidP="00584BB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ликвидация просроченной кредиторской задолженности бюджета городского округа</w:t>
      </w:r>
      <w:r w:rsidR="00C60646" w:rsidRPr="008C5F14">
        <w:rPr>
          <w:rFonts w:ascii="Times New Roman" w:hAnsi="Times New Roman" w:cs="Times New Roman"/>
          <w:sz w:val="28"/>
          <w:szCs w:val="28"/>
        </w:rPr>
        <w:t>;</w:t>
      </w:r>
    </w:p>
    <w:p w:rsidR="00485217" w:rsidRPr="008C5F14" w:rsidRDefault="00485217" w:rsidP="00F131BA">
      <w:pPr>
        <w:pStyle w:val="ConsPlusCell"/>
        <w:jc w:val="both"/>
      </w:pPr>
      <w:r>
        <w:t xml:space="preserve">        </w:t>
      </w:r>
      <w:r w:rsidR="00FC3A3F">
        <w:t xml:space="preserve">   </w:t>
      </w:r>
      <w:r>
        <w:t>установлены правила и процедуры размещения заказов на поставку товаров, выполнение работ, оказание услуг для муниципальных нужд.</w:t>
      </w:r>
    </w:p>
    <w:p w:rsidR="00C60646" w:rsidRDefault="00485217" w:rsidP="00F131BA">
      <w:pPr>
        <w:pStyle w:val="ConsPlusCell"/>
        <w:ind w:firstLine="851"/>
        <w:jc w:val="both"/>
      </w:pPr>
      <w:r>
        <w:t>В то же время не все заявленные планы были реализованы. Не удалось полностью практически применить ряд законодательно введенных принципов</w:t>
      </w:r>
      <w:r w:rsidR="00BE075B">
        <w:t>,</w:t>
      </w:r>
      <w:r>
        <w:t xml:space="preserve"> механизмов и урегулировать многие правовые и методические вопросы.</w:t>
      </w:r>
    </w:p>
    <w:p w:rsidR="00485217" w:rsidRPr="008C5F14" w:rsidRDefault="00485217" w:rsidP="00F131BA">
      <w:pPr>
        <w:pStyle w:val="ConsPlusCell"/>
        <w:ind w:firstLine="851"/>
        <w:jc w:val="both"/>
      </w:pPr>
      <w:r>
        <w:t>Как следствие, в сфере управления муниципальными финансами сохраняется ряд системных недостат</w:t>
      </w:r>
      <w:r w:rsidR="006A0CC0">
        <w:t>ко</w:t>
      </w:r>
      <w:r>
        <w:t>в и нерешенных проблем.</w:t>
      </w:r>
    </w:p>
    <w:p w:rsidR="00C60646" w:rsidRPr="008C5F14" w:rsidRDefault="00C60646" w:rsidP="00F131BA">
      <w:pPr>
        <w:pStyle w:val="ConsPlusCell"/>
        <w:ind w:firstLine="851"/>
        <w:jc w:val="both"/>
      </w:pPr>
      <w:r w:rsidRPr="008C5F14">
        <w:t>По состоянию на начало 201</w:t>
      </w:r>
      <w:r w:rsidR="00782066">
        <w:t>3</w:t>
      </w:r>
      <w:r w:rsidRPr="008C5F14">
        <w:t xml:space="preserve"> года в городе:</w:t>
      </w:r>
    </w:p>
    <w:p w:rsidR="00C60646" w:rsidRPr="008C5F14" w:rsidRDefault="00CE05CB" w:rsidP="00F131BA">
      <w:pPr>
        <w:pStyle w:val="ConsPlusCell"/>
        <w:numPr>
          <w:ilvl w:val="0"/>
          <w:numId w:val="3"/>
        </w:numPr>
        <w:ind w:left="0" w:firstLine="710"/>
        <w:jc w:val="both"/>
      </w:pPr>
      <w:r w:rsidRPr="008C5F14">
        <w:t xml:space="preserve"> о</w:t>
      </w:r>
      <w:r w:rsidR="00C60646" w:rsidRPr="008C5F14">
        <w:t>тсутствовало четкое определение основных направлений деятельности органов местного самоуправления городского округа</w:t>
      </w:r>
      <w:r w:rsidR="008C5F14">
        <w:t>,</w:t>
      </w:r>
      <w:r w:rsidR="00C60646" w:rsidRPr="008C5F14">
        <w:t xml:space="preserve"> </w:t>
      </w:r>
      <w:r w:rsidR="008C5F14">
        <w:t>функциональных</w:t>
      </w:r>
      <w:r w:rsidR="00C60646" w:rsidRPr="008C5F14">
        <w:t xml:space="preserve"> отделов Клинцовской городской администрации и критериев оценки эффективности их работы с учетом основной цели проводимых реформ – обеспечение потребностей населения </w:t>
      </w:r>
      <w:r w:rsidRPr="008C5F14">
        <w:t>городского округа в муниципальных услугах, увеличение их доступности и качества, реализация долгосрочных приоритетов и целей социально-экономического развития;</w:t>
      </w:r>
    </w:p>
    <w:p w:rsidR="00CE05CB" w:rsidRPr="008C5F14" w:rsidRDefault="00CE05CB" w:rsidP="00F131BA">
      <w:pPr>
        <w:pStyle w:val="ConsPlusCell"/>
        <w:numPr>
          <w:ilvl w:val="0"/>
          <w:numId w:val="3"/>
        </w:numPr>
        <w:ind w:left="0" w:firstLine="710"/>
        <w:jc w:val="both"/>
      </w:pPr>
      <w:r w:rsidRPr="008C5F14">
        <w:t xml:space="preserve"> сохранялись условия и стимулы для неоправданного увеличения бюджетных расходов, не созданы условия для мотивации органов местного самоуправления и муниципальных учреждений к повышению эффективности бюджетных расходов и своей деятельности в целом.</w:t>
      </w:r>
    </w:p>
    <w:p w:rsidR="00660ADF" w:rsidRDefault="00F131BA" w:rsidP="005A1D5E">
      <w:pPr>
        <w:pStyle w:val="ConsPlusCell"/>
        <w:ind w:firstLine="851"/>
        <w:jc w:val="both"/>
      </w:pPr>
      <w:r w:rsidRPr="008C5F14">
        <w:lastRenderedPageBreak/>
        <w:t>В соответствии со сложившейся ситуацией, финансовым управлением Клинцовской городской администрации разработана программа повышения эффективности бюджетных расходов города Клинцы (</w:t>
      </w:r>
      <w:r w:rsidR="00782066">
        <w:t>2013-2018</w:t>
      </w:r>
      <w:r w:rsidRPr="008C5F14">
        <w:t xml:space="preserve"> годы)</w:t>
      </w:r>
      <w:r w:rsidR="005A1D5E" w:rsidRPr="008C5F14">
        <w:t>. Программа повышения эффективности бюджетных расходов направлена на создание условий для повышения эффективности деятельности органов местного самоуправления по выполнению их функций, обеспечению потребности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 городского округа.</w:t>
      </w:r>
      <w:r w:rsidRPr="008C5F14">
        <w:t xml:space="preserve"> </w:t>
      </w:r>
    </w:p>
    <w:p w:rsidR="00BE075B" w:rsidRDefault="00BE075B" w:rsidP="005A1D5E">
      <w:pPr>
        <w:pStyle w:val="ConsPlusCell"/>
        <w:ind w:firstLine="851"/>
        <w:jc w:val="both"/>
      </w:pPr>
      <w:r>
        <w:t>Обеспечение долгосрочной сбалансированности и устойчивости бюджетной системы городского округа, реалистичности бюджета, повышение эффективности распределения бюджетных средств необходимо для обеспечения устойчивого экономического роста, улучшения инвестиционного климата, роста уровня и качества жизни населения.</w:t>
      </w:r>
    </w:p>
    <w:p w:rsidR="004933F3" w:rsidRDefault="004933F3" w:rsidP="005A1D5E">
      <w:pPr>
        <w:pStyle w:val="ConsPlusCell"/>
        <w:ind w:firstLine="851"/>
        <w:jc w:val="both"/>
      </w:pPr>
    </w:p>
    <w:p w:rsidR="00BE075B" w:rsidRDefault="00BE075B" w:rsidP="005A1D5E">
      <w:pPr>
        <w:pStyle w:val="ConsPlusCell"/>
        <w:ind w:firstLine="851"/>
        <w:jc w:val="both"/>
      </w:pPr>
      <w:r>
        <w:t>Реализация данной задачи предполагает поиск возможностей для повышения качества и объективности планирования бюджетных ассигнований, доходов бюджета.</w:t>
      </w:r>
    </w:p>
    <w:p w:rsidR="004933F3" w:rsidRDefault="004933F3" w:rsidP="005A1D5E">
      <w:pPr>
        <w:pStyle w:val="ConsPlusCell"/>
        <w:ind w:firstLine="851"/>
        <w:jc w:val="both"/>
      </w:pPr>
    </w:p>
    <w:p w:rsidR="00BE075B" w:rsidRDefault="00BE075B" w:rsidP="005A1D5E">
      <w:pPr>
        <w:pStyle w:val="ConsPlusCell"/>
        <w:ind w:firstLine="851"/>
        <w:jc w:val="both"/>
      </w:pPr>
      <w:r>
        <w:t xml:space="preserve">При формировании основных параметров бюджета городского округа на очередной финансовый год </w:t>
      </w:r>
      <w:r w:rsidR="00D66D99">
        <w:t xml:space="preserve">и плановый период </w:t>
      </w:r>
      <w:r>
        <w:t>определяются приоритеты и основные направления бюджетной и долговой политики. Для методической поддержки главных распорядителей бюджетных средств на стадии планирования бюджета</w:t>
      </w:r>
      <w:r w:rsidR="00D74AC8">
        <w:t xml:space="preserve"> финансовым управлением Клинцовской городской администрации ежегодно утверждается методика планирования бюджетных ассигнований бюджета городского округа на очередной финансовый год и плановый период, в которых учтены вносимые изменения в бюджетное законодательство.</w:t>
      </w:r>
    </w:p>
    <w:p w:rsidR="004933F3" w:rsidRDefault="004933F3" w:rsidP="005A1D5E">
      <w:pPr>
        <w:pStyle w:val="ConsPlusCell"/>
        <w:ind w:firstLine="851"/>
        <w:jc w:val="both"/>
      </w:pPr>
    </w:p>
    <w:p w:rsidR="00F0711B" w:rsidRDefault="00F0711B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5F14">
        <w:rPr>
          <w:rFonts w:eastAsiaTheme="minorHAnsi"/>
          <w:sz w:val="28"/>
          <w:szCs w:val="28"/>
          <w:lang w:eastAsia="en-US"/>
        </w:rPr>
        <w:t xml:space="preserve">Одним из важных инструментов обеспечения экономической и финансовой стабильности является продуманная и взвешенная долговая политика в городе, которая жестко ориентирована на минимизацию долговых обязательств бюджета городского округа и расходов на обслуживание муниципального долга. Основные цели долговой политики – недопущение рисков возникновения кризисных ситуаций  при исполнении бюджета городского округа, поддержание размеров и структуры муниципального долга в объеме, </w:t>
      </w:r>
      <w:proofErr w:type="gramStart"/>
      <w:r w:rsidRPr="008C5F14">
        <w:rPr>
          <w:rFonts w:eastAsiaTheme="minorHAnsi"/>
          <w:sz w:val="28"/>
          <w:szCs w:val="28"/>
          <w:lang w:eastAsia="en-US"/>
        </w:rPr>
        <w:t>обеспечивающим</w:t>
      </w:r>
      <w:proofErr w:type="gramEnd"/>
      <w:r w:rsidRPr="008C5F14">
        <w:rPr>
          <w:rFonts w:eastAsiaTheme="minorHAnsi"/>
          <w:sz w:val="28"/>
          <w:szCs w:val="28"/>
          <w:lang w:eastAsia="en-US"/>
        </w:rPr>
        <w:t xml:space="preserve"> возможность гарантированного выполнения обязательств по его погашению и обслуживанию.</w:t>
      </w:r>
    </w:p>
    <w:p w:rsidR="004933F3" w:rsidRPr="008C5F14" w:rsidRDefault="004933F3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423B1" w:rsidRDefault="004423B1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5F14">
        <w:rPr>
          <w:rFonts w:eastAsiaTheme="minorHAnsi"/>
          <w:sz w:val="28"/>
          <w:szCs w:val="28"/>
          <w:lang w:eastAsia="en-US"/>
        </w:rPr>
        <w:t xml:space="preserve">В целях решения данной задачи финансовым управлением Клинцовской городской администрации ежегодно формируется предельный объем муниципального долга, осуществляется привлечение заимствований </w:t>
      </w:r>
      <w:r w:rsidR="008A1E3C" w:rsidRPr="008C5F14">
        <w:rPr>
          <w:rFonts w:eastAsiaTheme="minorHAnsi"/>
          <w:sz w:val="28"/>
          <w:szCs w:val="28"/>
          <w:lang w:eastAsia="en-US"/>
        </w:rPr>
        <w:t>на конкурсной основе.</w:t>
      </w:r>
    </w:p>
    <w:p w:rsidR="004933F3" w:rsidRPr="008C5F14" w:rsidRDefault="004933F3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1E3C" w:rsidRDefault="008A1E3C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5F14">
        <w:rPr>
          <w:rFonts w:eastAsiaTheme="minorHAnsi"/>
          <w:sz w:val="28"/>
          <w:szCs w:val="28"/>
          <w:lang w:eastAsia="en-US"/>
        </w:rPr>
        <w:t xml:space="preserve">В результате муниципальный долг городского округа поддерживается в объеме, необходимом для обеспечения финансирования дефицита бюджета </w:t>
      </w:r>
      <w:r w:rsidRPr="008C5F14">
        <w:rPr>
          <w:rFonts w:eastAsiaTheme="minorHAnsi"/>
          <w:sz w:val="28"/>
          <w:szCs w:val="28"/>
          <w:lang w:eastAsia="en-US"/>
        </w:rPr>
        <w:lastRenderedPageBreak/>
        <w:t>городского округа и не превышающем ограничения, установленные Бюджетным кодексом Российской Федерации. Привлечение заимствований на конкурсной основе позволяет сократить стоимость обслуживания муниципального долга города.</w:t>
      </w:r>
      <w:r w:rsidR="00D92B56" w:rsidRPr="008C5F14">
        <w:rPr>
          <w:rFonts w:eastAsiaTheme="minorHAnsi"/>
          <w:sz w:val="28"/>
          <w:szCs w:val="28"/>
          <w:lang w:eastAsia="en-US"/>
        </w:rPr>
        <w:t xml:space="preserve"> </w:t>
      </w:r>
    </w:p>
    <w:p w:rsidR="004933F3" w:rsidRPr="008C5F14" w:rsidRDefault="004933F3" w:rsidP="00F071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2B56" w:rsidRPr="008C5F14" w:rsidRDefault="00560246" w:rsidP="00F54C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5F14">
        <w:rPr>
          <w:rFonts w:eastAsiaTheme="minorHAnsi"/>
          <w:sz w:val="28"/>
          <w:szCs w:val="28"/>
          <w:lang w:eastAsia="en-US"/>
        </w:rPr>
        <w:t>Муниципальный долг городского округа состоит из задолженности по привлеченным заемным средствам  кредитных организаций. Структура  муниципального внутреннего долга городского округа за последние три года приведена в таблице 1.</w:t>
      </w:r>
    </w:p>
    <w:p w:rsidR="00512785" w:rsidRDefault="00512785" w:rsidP="00560246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512785" w:rsidRDefault="00512785" w:rsidP="00560246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512785" w:rsidRDefault="00512785" w:rsidP="00560246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560246" w:rsidRPr="008C5F14" w:rsidRDefault="00560246" w:rsidP="00560246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8C5F14">
        <w:rPr>
          <w:rFonts w:eastAsiaTheme="minorHAnsi"/>
          <w:sz w:val="28"/>
          <w:szCs w:val="28"/>
          <w:lang w:eastAsia="en-US"/>
        </w:rPr>
        <w:t xml:space="preserve">Таблица </w:t>
      </w:r>
      <w:r w:rsidR="00D66D99">
        <w:rPr>
          <w:rFonts w:eastAsiaTheme="minorHAnsi"/>
          <w:sz w:val="28"/>
          <w:szCs w:val="28"/>
          <w:lang w:eastAsia="en-US"/>
        </w:rPr>
        <w:t>1</w:t>
      </w:r>
    </w:p>
    <w:p w:rsidR="00560246" w:rsidRPr="008C5F14" w:rsidRDefault="00560246" w:rsidP="00560246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</w:p>
    <w:p w:rsidR="00D92B56" w:rsidRPr="008C5F14" w:rsidRDefault="00D92B56" w:rsidP="00D92B5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sz w:val="28"/>
          <w:szCs w:val="28"/>
          <w:lang w:eastAsia="en-US"/>
        </w:rPr>
      </w:pPr>
      <w:r w:rsidRPr="008C5F14">
        <w:rPr>
          <w:rFonts w:eastAsiaTheme="minorHAnsi"/>
          <w:i/>
          <w:sz w:val="28"/>
          <w:szCs w:val="28"/>
          <w:lang w:eastAsia="en-US"/>
        </w:rPr>
        <w:t>Структура муниципального внутреннего долга городского округа</w:t>
      </w:r>
    </w:p>
    <w:p w:rsidR="00D92B56" w:rsidRPr="008C5F14" w:rsidRDefault="00D92B56" w:rsidP="00D92B5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sz w:val="28"/>
          <w:szCs w:val="28"/>
          <w:lang w:eastAsia="en-US"/>
        </w:rPr>
      </w:pPr>
      <w:r w:rsidRPr="008C5F14">
        <w:rPr>
          <w:rFonts w:eastAsiaTheme="minorHAnsi"/>
          <w:i/>
          <w:sz w:val="28"/>
          <w:szCs w:val="28"/>
          <w:lang w:eastAsia="en-US"/>
        </w:rPr>
        <w:t xml:space="preserve"> «город Клинцы Бр</w:t>
      </w:r>
      <w:r w:rsidR="00D66D99">
        <w:rPr>
          <w:rFonts w:eastAsiaTheme="minorHAnsi"/>
          <w:i/>
          <w:sz w:val="28"/>
          <w:szCs w:val="28"/>
          <w:lang w:eastAsia="en-US"/>
        </w:rPr>
        <w:t>янской области» (</w:t>
      </w:r>
      <w:r w:rsidR="006A185A">
        <w:rPr>
          <w:rFonts w:eastAsiaTheme="minorHAnsi"/>
          <w:i/>
          <w:sz w:val="28"/>
          <w:szCs w:val="28"/>
          <w:lang w:eastAsia="en-US"/>
        </w:rPr>
        <w:t>2010-2012</w:t>
      </w:r>
      <w:r w:rsidR="00D66D99">
        <w:rPr>
          <w:rFonts w:eastAsiaTheme="minorHAnsi"/>
          <w:i/>
          <w:sz w:val="28"/>
          <w:szCs w:val="28"/>
          <w:lang w:eastAsia="en-US"/>
        </w:rPr>
        <w:t xml:space="preserve"> годы)</w:t>
      </w:r>
    </w:p>
    <w:p w:rsidR="00560246" w:rsidRPr="00D77ACB" w:rsidRDefault="00560246" w:rsidP="00D92B56">
      <w:pPr>
        <w:autoSpaceDE w:val="0"/>
        <w:autoSpaceDN w:val="0"/>
        <w:adjustRightInd w:val="0"/>
        <w:ind w:firstLine="540"/>
        <w:jc w:val="center"/>
        <w:rPr>
          <w:rFonts w:eastAsiaTheme="minorHAnsi"/>
          <w:i/>
          <w:color w:val="FF0000"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D77ACB" w:rsidRPr="00D77ACB" w:rsidTr="00D92B56">
        <w:trPr>
          <w:cnfStyle w:val="100000000000"/>
        </w:trPr>
        <w:tc>
          <w:tcPr>
            <w:cnfStyle w:val="001000000000"/>
            <w:tcW w:w="2392" w:type="dxa"/>
          </w:tcPr>
          <w:p w:rsidR="00D92B56" w:rsidRPr="009D4DBA" w:rsidRDefault="00D92B56" w:rsidP="00D92B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bookmarkStart w:id="0" w:name="_GoBack" w:colFirst="0" w:colLast="3"/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Статьи муниципального внутреннего долга</w:t>
            </w:r>
          </w:p>
          <w:p w:rsidR="005C3C64" w:rsidRPr="009D4DBA" w:rsidRDefault="005C3C64" w:rsidP="00D92B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D92B56" w:rsidRPr="009D4DBA" w:rsidRDefault="006A185A" w:rsidP="009D4DB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201</w:t>
            </w:r>
            <w:r w:rsidR="009D4DBA"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393" w:type="dxa"/>
          </w:tcPr>
          <w:p w:rsidR="00D92B56" w:rsidRPr="009D4DBA" w:rsidRDefault="00D92B56" w:rsidP="00D92B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A185A" w:rsidRPr="009D4DBA" w:rsidRDefault="006A185A" w:rsidP="009D4DB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201</w:t>
            </w:r>
            <w:r w:rsidR="009D4DBA"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393" w:type="dxa"/>
          </w:tcPr>
          <w:p w:rsidR="00D92B56" w:rsidRPr="009D4DBA" w:rsidRDefault="00D92B56" w:rsidP="00D92B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D92B56" w:rsidRPr="009D4DBA" w:rsidRDefault="00D92B56" w:rsidP="009D4DBA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201</w:t>
            </w:r>
            <w:r w:rsidR="009D4DBA"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  <w:r w:rsidRPr="009D4DB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D77ACB" w:rsidRPr="00D77ACB" w:rsidTr="00D92B56">
        <w:tc>
          <w:tcPr>
            <w:cnfStyle w:val="001000000000"/>
            <w:tcW w:w="2392" w:type="dxa"/>
          </w:tcPr>
          <w:p w:rsidR="00D92B56" w:rsidRPr="009D4DBA" w:rsidRDefault="00D92B56" w:rsidP="00D92B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Кредиты кредитных организаций, тыс. руб.</w:t>
            </w:r>
          </w:p>
          <w:p w:rsidR="007F1B68" w:rsidRPr="009D4DBA" w:rsidRDefault="007F1B68" w:rsidP="007F1B68">
            <w:pPr>
              <w:autoSpaceDE w:val="0"/>
              <w:autoSpaceDN w:val="0"/>
              <w:adjustRightInd w:val="0"/>
              <w:ind w:left="28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процентная ставка по кредиту</w:t>
            </w:r>
          </w:p>
          <w:p w:rsidR="005C3C64" w:rsidRPr="009D4DBA" w:rsidRDefault="005C3C64" w:rsidP="007F1B68">
            <w:pPr>
              <w:autoSpaceDE w:val="0"/>
              <w:autoSpaceDN w:val="0"/>
              <w:adjustRightInd w:val="0"/>
              <w:ind w:left="28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D92B56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50000,0</w:t>
            </w: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6,5</w:t>
            </w:r>
          </w:p>
        </w:tc>
        <w:tc>
          <w:tcPr>
            <w:tcW w:w="2393" w:type="dxa"/>
          </w:tcPr>
          <w:p w:rsidR="006A185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25000,0</w:t>
            </w: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9,0</w:t>
            </w:r>
            <w:r w:rsidR="006A185A" w:rsidRPr="009D4DBA">
              <w:rPr>
                <w:rFonts w:eastAsiaTheme="minorHAnsi"/>
                <w:sz w:val="28"/>
                <w:szCs w:val="28"/>
                <w:lang w:eastAsia="en-US"/>
              </w:rPr>
              <w:t xml:space="preserve"> %</w:t>
            </w: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10000,0</w:t>
            </w: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10,97%</w:t>
            </w:r>
          </w:p>
        </w:tc>
        <w:tc>
          <w:tcPr>
            <w:tcW w:w="2393" w:type="dxa"/>
          </w:tcPr>
          <w:p w:rsidR="007F1B68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47000,0</w:t>
            </w: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9,3%</w:t>
            </w: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7000,0</w:t>
            </w: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4DB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8,52%</w:t>
            </w:r>
          </w:p>
          <w:p w:rsidR="007F1B68" w:rsidRPr="009D4DBA" w:rsidRDefault="007F1B68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1B68" w:rsidRPr="009D4DBA" w:rsidRDefault="007F1B68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77ACB" w:rsidRPr="00D77ACB" w:rsidTr="00D92B56">
        <w:tc>
          <w:tcPr>
            <w:cnfStyle w:val="001000000000"/>
            <w:tcW w:w="2392" w:type="dxa"/>
          </w:tcPr>
          <w:p w:rsidR="00D92B56" w:rsidRPr="009D4DBA" w:rsidRDefault="00D92B56" w:rsidP="00D92B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Бюджетные кредиты, тыс. руб.</w:t>
            </w:r>
          </w:p>
          <w:p w:rsidR="005C3C64" w:rsidRPr="009D4DBA" w:rsidRDefault="005C3C64" w:rsidP="00D92B5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D92B56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D92B56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D92B56" w:rsidRPr="009D4DBA" w:rsidRDefault="00560246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D77ACB" w:rsidRPr="00D77ACB" w:rsidTr="00D92B56">
        <w:tc>
          <w:tcPr>
            <w:cnfStyle w:val="001000000000"/>
            <w:tcW w:w="2392" w:type="dxa"/>
          </w:tcPr>
          <w:p w:rsidR="00D92B56" w:rsidRPr="009D4DBA" w:rsidRDefault="007F1B68" w:rsidP="007F1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Муниципальные гарантии, тыс. руб.</w:t>
            </w:r>
          </w:p>
          <w:p w:rsidR="005C3C64" w:rsidRPr="009D4DBA" w:rsidRDefault="005C3C64" w:rsidP="007F1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D92B56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D92B56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93" w:type="dxa"/>
          </w:tcPr>
          <w:p w:rsidR="00D92B56" w:rsidRPr="009D4DBA" w:rsidRDefault="00560246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D77ACB" w:rsidRPr="00D77ACB" w:rsidTr="00D92B56">
        <w:tc>
          <w:tcPr>
            <w:cnfStyle w:val="001000000000"/>
            <w:tcW w:w="2392" w:type="dxa"/>
          </w:tcPr>
          <w:p w:rsidR="00D92B56" w:rsidRPr="009D4DBA" w:rsidRDefault="007F1B68" w:rsidP="00D92B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Всего, тыс. руб.</w:t>
            </w:r>
          </w:p>
          <w:p w:rsidR="005C3C64" w:rsidRPr="009D4DBA" w:rsidRDefault="005C3C64" w:rsidP="00D92B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D92B56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50000,0</w:t>
            </w:r>
          </w:p>
        </w:tc>
        <w:tc>
          <w:tcPr>
            <w:tcW w:w="2393" w:type="dxa"/>
          </w:tcPr>
          <w:p w:rsidR="00D92B56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35000,0</w:t>
            </w:r>
          </w:p>
        </w:tc>
        <w:tc>
          <w:tcPr>
            <w:tcW w:w="2393" w:type="dxa"/>
          </w:tcPr>
          <w:p w:rsidR="00D92B56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54000,0</w:t>
            </w:r>
          </w:p>
        </w:tc>
      </w:tr>
      <w:tr w:rsidR="00D77ACB" w:rsidRPr="00D77ACB" w:rsidTr="00D92B56">
        <w:tc>
          <w:tcPr>
            <w:cnfStyle w:val="001000000000"/>
            <w:tcW w:w="2392" w:type="dxa"/>
          </w:tcPr>
          <w:p w:rsidR="007F1B68" w:rsidRPr="009D4DBA" w:rsidRDefault="007F1B68" w:rsidP="007F1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 xml:space="preserve">Расходы на обслуживание муниципального внутреннего </w:t>
            </w:r>
            <w:r w:rsidRPr="009D4DB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долга, тыс. руб.</w:t>
            </w:r>
          </w:p>
          <w:p w:rsidR="005C3C64" w:rsidRPr="009D4DBA" w:rsidRDefault="005C3C64" w:rsidP="007F1B6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F1B68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1884,1</w:t>
            </w:r>
          </w:p>
        </w:tc>
        <w:tc>
          <w:tcPr>
            <w:tcW w:w="2393" w:type="dxa"/>
          </w:tcPr>
          <w:p w:rsidR="00560246" w:rsidRPr="009D4DBA" w:rsidRDefault="00560246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9D4DBA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2324,4</w:t>
            </w:r>
          </w:p>
        </w:tc>
        <w:tc>
          <w:tcPr>
            <w:tcW w:w="2393" w:type="dxa"/>
          </w:tcPr>
          <w:p w:rsidR="007F1B68" w:rsidRPr="009D4DBA" w:rsidRDefault="007F1B68" w:rsidP="00D92B5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185A" w:rsidRPr="009D4DBA" w:rsidRDefault="006A185A" w:rsidP="006A185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60246" w:rsidRPr="009D4DBA" w:rsidRDefault="009D4DBA" w:rsidP="006A185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sz w:val="28"/>
                <w:szCs w:val="28"/>
                <w:lang w:eastAsia="en-US"/>
              </w:rPr>
            </w:pPr>
            <w:r w:rsidRPr="009D4DBA">
              <w:rPr>
                <w:rFonts w:eastAsiaTheme="minorHAnsi"/>
                <w:sz w:val="28"/>
                <w:szCs w:val="28"/>
                <w:lang w:eastAsia="en-US"/>
              </w:rPr>
              <w:t>4610,0</w:t>
            </w:r>
          </w:p>
        </w:tc>
      </w:tr>
      <w:bookmarkEnd w:id="0"/>
    </w:tbl>
    <w:p w:rsidR="00D92B56" w:rsidRPr="008C5F14" w:rsidRDefault="00D92B56" w:rsidP="00D92B56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F0711B" w:rsidRPr="008C5F14" w:rsidRDefault="00F54C7A" w:rsidP="00F54C7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Важным направлением долговой политики городского округа является принятие мер для замены процентных источников покрытия бюджетного дефицита непроцентными.</w:t>
      </w:r>
    </w:p>
    <w:p w:rsidR="005B687B" w:rsidRPr="008C5F14" w:rsidRDefault="005B687B" w:rsidP="00F54C7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Бюджетное планирование остается слабо увязанным со стратегическим планированием, структура и динамика расходов недостаточно учитывают цели социально-экономического развития городского округа.</w:t>
      </w:r>
    </w:p>
    <w:p w:rsidR="005B687B" w:rsidRPr="008C5F14" w:rsidRDefault="009C759E" w:rsidP="00F54C7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14">
        <w:rPr>
          <w:rFonts w:ascii="Times New Roman" w:hAnsi="Times New Roman" w:cs="Times New Roman"/>
          <w:sz w:val="28"/>
          <w:szCs w:val="28"/>
        </w:rPr>
        <w:t xml:space="preserve">Существующие  инструменты целеполагания, интегрированные на местном уровне в бюджетный процесс (бюджетные целевые программы, обоснования бюджетных ассигнований, доклады о результатах и основных направлениях деятельности), в недостаточной степени увязаны между собой, стратегией социально-экономического развития </w:t>
      </w:r>
      <w:r w:rsidR="00B5553A" w:rsidRPr="008C5F14">
        <w:rPr>
          <w:rFonts w:ascii="Times New Roman" w:hAnsi="Times New Roman" w:cs="Times New Roman"/>
          <w:sz w:val="28"/>
          <w:szCs w:val="28"/>
        </w:rPr>
        <w:t>города</w:t>
      </w:r>
      <w:r w:rsidRPr="008C5F14">
        <w:rPr>
          <w:rFonts w:ascii="Times New Roman" w:hAnsi="Times New Roman" w:cs="Times New Roman"/>
          <w:sz w:val="28"/>
          <w:szCs w:val="28"/>
        </w:rPr>
        <w:t xml:space="preserve"> и продолжают рассматриваться некоторыми органами</w:t>
      </w:r>
      <w:r w:rsidR="00B5553A" w:rsidRPr="008C5F14">
        <w:rPr>
          <w:rFonts w:ascii="Times New Roman" w:hAnsi="Times New Roman" w:cs="Times New Roman"/>
          <w:sz w:val="28"/>
          <w:szCs w:val="28"/>
        </w:rPr>
        <w:t>, функциональными отделами Клинцовской городской администрации</w:t>
      </w:r>
      <w:r w:rsidRPr="008C5F14">
        <w:rPr>
          <w:rFonts w:ascii="Times New Roman" w:hAnsi="Times New Roman" w:cs="Times New Roman"/>
          <w:sz w:val="28"/>
          <w:szCs w:val="28"/>
        </w:rPr>
        <w:t xml:space="preserve"> в качестве декларативных документов, нежели планов реальных действий.</w:t>
      </w:r>
      <w:proofErr w:type="gramEnd"/>
    </w:p>
    <w:p w:rsidR="009C759E" w:rsidRPr="008C5F14" w:rsidRDefault="009C759E" w:rsidP="00F54C7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Данная ситуация является следствием сложившейся годами практики  сметного финансирования муниципальных учреждений, органов местного самоуправления вне зависимости от фактически достигнутых результатов. Попытки увязать выделяемые бюджетные ассигнования с конечными количественно измеримыми результатами деятельности, просчитать «себестоимость» осуществляемых полномочий вызывает сопротивление со стороны ведомств.</w:t>
      </w:r>
      <w:r w:rsidR="00586CE9" w:rsidRPr="008C5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A75" w:rsidRPr="008C5F14" w:rsidRDefault="00F60A75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Кроме того, сложившаяся ситуация является следствием отсутствия следующих механизмов:</w:t>
      </w:r>
    </w:p>
    <w:p w:rsidR="00F60A75" w:rsidRPr="008C5F14" w:rsidRDefault="00A967DE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м</w:t>
      </w:r>
      <w:r w:rsidR="00F60A75" w:rsidRPr="008C5F14">
        <w:rPr>
          <w:rFonts w:ascii="Times New Roman" w:hAnsi="Times New Roman" w:cs="Times New Roman"/>
          <w:sz w:val="28"/>
          <w:szCs w:val="28"/>
        </w:rPr>
        <w:t>отивации главных распорядителей бюджетных сре</w:t>
      </w:r>
      <w:proofErr w:type="gramStart"/>
      <w:r w:rsidR="00F60A75" w:rsidRPr="008C5F14"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 w:rsidR="00F60A75" w:rsidRPr="008C5F14">
        <w:rPr>
          <w:rFonts w:ascii="Times New Roman" w:hAnsi="Times New Roman" w:cs="Times New Roman"/>
          <w:sz w:val="28"/>
          <w:szCs w:val="28"/>
        </w:rPr>
        <w:t>овышению качества финансово-экономического планирования;</w:t>
      </w:r>
    </w:p>
    <w:p w:rsidR="00F60A75" w:rsidRPr="008C5F14" w:rsidRDefault="00A967DE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п</w:t>
      </w:r>
      <w:r w:rsidR="00F60A75" w:rsidRPr="008C5F14">
        <w:rPr>
          <w:rFonts w:ascii="Times New Roman" w:hAnsi="Times New Roman" w:cs="Times New Roman"/>
          <w:sz w:val="28"/>
          <w:szCs w:val="28"/>
        </w:rPr>
        <w:t>рименение финансовых и иных санкций за некачественное бюджетное планирование, недостижение запланированных показателей бюджетных целевых программ.</w:t>
      </w:r>
    </w:p>
    <w:p w:rsidR="00660ADF" w:rsidRPr="008C5F14" w:rsidRDefault="008C16A7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</w:t>
      </w:r>
      <w:r w:rsidR="003B72D7" w:rsidRPr="008C5F14">
        <w:rPr>
          <w:rFonts w:ascii="Times New Roman" w:hAnsi="Times New Roman" w:cs="Times New Roman"/>
          <w:sz w:val="28"/>
          <w:szCs w:val="28"/>
        </w:rPr>
        <w:t xml:space="preserve"> значительной степени формальным</w:t>
      </w:r>
      <w:r w:rsidRPr="008C5F14">
        <w:rPr>
          <w:rFonts w:ascii="Times New Roman" w:hAnsi="Times New Roman" w:cs="Times New Roman"/>
          <w:sz w:val="28"/>
          <w:szCs w:val="28"/>
        </w:rPr>
        <w:t xml:space="preserve"> и недостаточно увязанным с бюджетным процессом остается применение инструментов бюджетирования,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на результат.</w:t>
      </w:r>
    </w:p>
    <w:p w:rsidR="002923C1" w:rsidRPr="008C5F14" w:rsidRDefault="008C16A7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Несмотря на определенные позитивные изменения в сфере</w:t>
      </w:r>
      <w:r w:rsidR="002923C1" w:rsidRPr="008C5F14">
        <w:rPr>
          <w:rFonts w:ascii="Times New Roman" w:hAnsi="Times New Roman" w:cs="Times New Roman"/>
          <w:sz w:val="28"/>
          <w:szCs w:val="28"/>
        </w:rPr>
        <w:t xml:space="preserve"> организации планирования  исполнения бюджета, применение методов бюджетирования, ориентированного на результат, остается в значительной степени формальным и не увязанным с действенной методологией и процессом планирования бюджетных ассигнований.</w:t>
      </w:r>
    </w:p>
    <w:p w:rsidR="00D778D8" w:rsidRPr="008C5F14" w:rsidRDefault="00D778D8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При формальном соблюдении </w:t>
      </w:r>
      <w:r w:rsidR="005B1E88" w:rsidRPr="008C5F14">
        <w:rPr>
          <w:rFonts w:ascii="Times New Roman" w:hAnsi="Times New Roman" w:cs="Times New Roman"/>
          <w:sz w:val="28"/>
          <w:szCs w:val="28"/>
        </w:rPr>
        <w:t>инструкций и процедур, установленных нормативными правовыми актами, результаты применения данных инструментов зачастую не находили отражения в бюджетных проектировках.</w:t>
      </w:r>
    </w:p>
    <w:p w:rsidR="005B1E88" w:rsidRPr="008C5F14" w:rsidRDefault="005B1E88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Так, результаты оценки потребности населения в предоставляемых муниципальных услугах, ежегодно осуществляемой на этапе подготовки проекта решения Клинцовского городского Совета народных депутатов о </w:t>
      </w:r>
      <w:r w:rsidRPr="008C5F14">
        <w:rPr>
          <w:rFonts w:ascii="Times New Roman" w:hAnsi="Times New Roman" w:cs="Times New Roman"/>
          <w:sz w:val="28"/>
          <w:szCs w:val="28"/>
        </w:rPr>
        <w:lastRenderedPageBreak/>
        <w:t>бюджете городского округа на очередной финансовый год и плановый период, практически не учитывались при планировании  бюджета.</w:t>
      </w:r>
    </w:p>
    <w:p w:rsidR="005B1E88" w:rsidRPr="008C5F14" w:rsidRDefault="005B1E88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Аналогичная ситуация – с подготовкой докладов о результатах и основных направлениях деятельности главных распорядителей бюджетных средств. Доклад о результатах оставался в большей степени декларативным документом, нежели действенным инструментом планирования и корректировки деятельности органов местного самоуправления.</w:t>
      </w:r>
    </w:p>
    <w:p w:rsidR="001D0D4D" w:rsidRDefault="001D0D4D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основных задач бюджетной политики – обеспечение нацеленности бюджетной системы на достижение </w:t>
      </w:r>
      <w:r w:rsidR="00D66D99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результатов. Эта задача буде решаться на основе перехода к программно-целевому принципу деятельности органов местного самоуправления городского округа, что позволит повысить качество бюджетного планирования и существенно сократить количество оснований для внесения изменений в </w:t>
      </w:r>
      <w:r w:rsidR="00D66D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водную бюджетную роспись расходов бюджета городского округа. Внедрение принципов формирования «программного» бюджета будет способствовать сохранению и усилению роли существующих инструментов бюджетного планирования: реестра расходных обязательств, обоснований бюджетных ассигнований. Финансовым управлением Клинцовской городской администрации совместно с органами местного самоуправления городского округа  будет проводиться работа по распределению бюджетных ассигнований городского бюджета по муниципальным программам на 20</w:t>
      </w:r>
      <w:r w:rsidR="00A846A4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0B49AB" w:rsidRDefault="000B49AB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и качественная организация контроля за исполнением бюджета городского округа в соответствии с требованиями бюджетного законодательства позволяет оценить степень выполнения расходных обязательств городского округа, предоставить участникам бюджетного процесса необходимую для анализа, планирования и управления средствами бюджета города информацию,  оценить финансовое состояние муниципальных учреждений, проводить анализ причин возникновения просроченной кредиторской задолженности бюджета городского округа. Это необходимо для недопущения роста кредиторской задолженности, выполнение в полном объеме расходных обязательств городского округа.</w:t>
      </w:r>
    </w:p>
    <w:p w:rsidR="000B49AB" w:rsidRDefault="000B49AB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доступной, достоверной и полной информации о состоянии муниципальных финансов является необходимым условием для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прозрачности деятельности органов местного самоуправления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175E" w:rsidRDefault="0070175E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 бюджета является одним из основных условий открытости муниципальных решений, повышение ответственности органов местного самоуправления за разработку и исполнение бюджета, создание предпосылок для контроля целевого расходования бюджетных средств.</w:t>
      </w:r>
    </w:p>
    <w:p w:rsidR="0070175E" w:rsidRDefault="0070175E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обеспечения прозрачности бюджетного процесса в городском округе будет решаться посредством размещения в информационно-телекоммуникационной сети Интернет информации о бюджетном процессе в городском округе.</w:t>
      </w:r>
    </w:p>
    <w:p w:rsidR="0070175E" w:rsidRPr="008C5F14" w:rsidRDefault="0070175E" w:rsidP="0070175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14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надлежащим качеством управления муниципальными финансами, обеспечивающим эффективность и </w:t>
      </w:r>
      <w:r w:rsidRPr="008C5F14">
        <w:rPr>
          <w:rFonts w:ascii="Times New Roman" w:hAnsi="Times New Roman" w:cs="Times New Roman"/>
          <w:sz w:val="28"/>
          <w:szCs w:val="28"/>
        </w:rPr>
        <w:lastRenderedPageBreak/>
        <w:t>результативность использования бюджетных средств и охватывающим все элементы бюджетного процесса (составление проекта бюджета, исполнение бюджета, учет и отчетность) главных администраторов средств бюджета городского округа,  необходимо создание условий для повышения качества финансового менеджмента главных распорядителей бюджетных средств бюджета городского округа, совершенствование финансового обеспечения деятельности бюджетных учреждений.</w:t>
      </w:r>
      <w:proofErr w:type="gramEnd"/>
    </w:p>
    <w:p w:rsidR="0070175E" w:rsidRDefault="00784E65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данной задачи утверждено </w:t>
      </w:r>
      <w:r w:rsidR="0070175E" w:rsidRPr="008C5F14">
        <w:rPr>
          <w:rFonts w:ascii="Times New Roman" w:hAnsi="Times New Roman" w:cs="Times New Roman"/>
          <w:sz w:val="28"/>
          <w:szCs w:val="28"/>
        </w:rPr>
        <w:t xml:space="preserve"> постановление Клинцовской городской администрации от 8 февраля 2012 г. № 259 «Об утверждении </w:t>
      </w:r>
      <w:proofErr w:type="gramStart"/>
      <w:r w:rsidR="0070175E" w:rsidRPr="008C5F14">
        <w:rPr>
          <w:rFonts w:ascii="Times New Roman" w:hAnsi="Times New Roman" w:cs="Times New Roman"/>
          <w:sz w:val="28"/>
          <w:szCs w:val="28"/>
        </w:rPr>
        <w:t>Порядка проведения мониторинга качества финансового менеджмента  главных распорядителей бюджетных средств городского</w:t>
      </w:r>
      <w:proofErr w:type="gramEnd"/>
      <w:r w:rsidR="0070175E" w:rsidRPr="008C5F14">
        <w:rPr>
          <w:rFonts w:ascii="Times New Roman" w:hAnsi="Times New Roman" w:cs="Times New Roman"/>
          <w:sz w:val="28"/>
          <w:szCs w:val="28"/>
        </w:rPr>
        <w:t xml:space="preserve"> округа " город Клинцы Брянской области" и Методики оценки качества финансового менеджмента главных распорядителей бюджетных средств городского округа "город Клинцы Брянской области"</w:t>
      </w:r>
      <w:r w:rsidR="0070175E">
        <w:rPr>
          <w:rFonts w:ascii="Times New Roman" w:hAnsi="Times New Roman" w:cs="Times New Roman"/>
          <w:sz w:val="28"/>
          <w:szCs w:val="28"/>
        </w:rPr>
        <w:t>.</w:t>
      </w:r>
    </w:p>
    <w:p w:rsidR="006255DD" w:rsidRPr="008C5F14" w:rsidRDefault="006255DD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С недостаточной степенью эффективности осуществляется реализация на территории городского округа Федерального закона от 8 мая 2010 года № 83-ФЗ «О внесении изменений 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6255DD" w:rsidRPr="008C5F14" w:rsidRDefault="006255DD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 2010-2011 годах в городском округе</w:t>
      </w:r>
      <w:r w:rsidR="007C2562" w:rsidRPr="008C5F14">
        <w:rPr>
          <w:rFonts w:ascii="Times New Roman" w:hAnsi="Times New Roman" w:cs="Times New Roman"/>
          <w:sz w:val="28"/>
          <w:szCs w:val="28"/>
        </w:rPr>
        <w:t xml:space="preserve"> была разработана и принята необходимая правовая база для реализации на территории города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учреждений.</w:t>
      </w:r>
    </w:p>
    <w:p w:rsidR="00591165" w:rsidRPr="008C5F14" w:rsidRDefault="00591165" w:rsidP="0059116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14">
        <w:rPr>
          <w:rFonts w:ascii="Times New Roman" w:hAnsi="Times New Roman" w:cs="Times New Roman"/>
          <w:sz w:val="28"/>
          <w:szCs w:val="28"/>
        </w:rPr>
        <w:t>Федеральный закон от 08 мая 2010 г. 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(далее – Федеральный закон № 83-ФЗ) обеспечил условия для перевода деятельности муниципальных учреждений на программно-целевую основу путем внедрения механизма муниципальных заданий и плана финансово-хозяйственной деятельности, а также для совершенствования механизмов финансового обеспечения деятельности бюджетных и автономных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учреждений с расширением объема их прав. </w:t>
      </w:r>
    </w:p>
    <w:p w:rsidR="00591165" w:rsidRPr="008C5F14" w:rsidRDefault="00591165" w:rsidP="0059116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 целях реализации Федерального закона № 83-ФЗ формирование бюджета городского округа на 2012 год осуществлялось с учетом проектов муниципальных заданий на оказание муниципальными учреждениями муниципальных услуг (выполнение работ).</w:t>
      </w:r>
    </w:p>
    <w:p w:rsidR="007C2562" w:rsidRPr="008C5F14" w:rsidRDefault="007C2562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Вместе с тем определение нормативных затрат на оказание муниципальных услуг и содержание имущества учреждений осуществляется в большинстве случаев «от обратного» - путем деления доступного объема бюджетных ассигнований на планируемое количество оказываемых муниципальных услуг.</w:t>
      </w:r>
    </w:p>
    <w:p w:rsidR="007C2562" w:rsidRPr="008C5F14" w:rsidRDefault="007C2562" w:rsidP="00D778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Данная ситуация, вызванная объективными бюджетными ограничениями, ведет к псевдореализации положений нижеуказанного </w:t>
      </w:r>
      <w:r w:rsidRPr="008C5F14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и не способствует достижению целей, ради котор</w:t>
      </w:r>
      <w:r w:rsidR="00FF37EE" w:rsidRPr="008C5F14">
        <w:rPr>
          <w:rFonts w:ascii="Times New Roman" w:hAnsi="Times New Roman" w:cs="Times New Roman"/>
          <w:sz w:val="28"/>
          <w:szCs w:val="28"/>
        </w:rPr>
        <w:t>ых федеральный закон был принят.</w:t>
      </w:r>
    </w:p>
    <w:p w:rsidR="00716037" w:rsidRPr="008C5F14" w:rsidRDefault="00716037" w:rsidP="007160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14">
        <w:rPr>
          <w:rFonts w:ascii="Times New Roman" w:hAnsi="Times New Roman" w:cs="Times New Roman"/>
          <w:sz w:val="28"/>
          <w:szCs w:val="28"/>
        </w:rPr>
        <w:t>Органами местного самоуправления городского округа, осуществляющими функции и полномочия учредителя, и главными распорядителями средств бюджета городского округа приняты все меры по переводу муниципальных учреждений на новые формы финансового обеспечения: проанализирована сеть подведомственных учреждений, решены имущественные вопросы, сформирован ведомственный перечень муниципальных услуг (работ), рассчитаны нормативы затрат с учетом отраслевой специфики, сформированы и доведены учредителями до подведомственных учреждений муниципальные задания на выполнение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муниципальных услуг (выполнение работ), утвержден порядок составления и утверждения плана финансово-хозяйственной  деятельности  учреждений, сформирован перечень платных услуг, утвержден порядок составления и утверждения отчета о результатах деятельности бюджетных и автономных учреждений.</w:t>
      </w:r>
    </w:p>
    <w:p w:rsidR="00716037" w:rsidRPr="008C5F14" w:rsidRDefault="00716037" w:rsidP="007160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Все это направлено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>:</w:t>
      </w:r>
    </w:p>
    <w:p w:rsidR="00716037" w:rsidRPr="008C5F14" w:rsidRDefault="00716037" w:rsidP="007160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–  повышение качества и объективности планирования бюджетных ассигнований; </w:t>
      </w:r>
    </w:p>
    <w:p w:rsidR="00591165" w:rsidRPr="008C5F14" w:rsidRDefault="00716037" w:rsidP="007160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– повышение  ответственности муниципальных учреждений за эффективное использование бюджетных средств  </w:t>
      </w:r>
    </w:p>
    <w:p w:rsidR="00764555" w:rsidRPr="008C5F14" w:rsidRDefault="00764555" w:rsidP="0076455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14">
        <w:rPr>
          <w:rFonts w:ascii="Times New Roman" w:hAnsi="Times New Roman" w:cs="Times New Roman"/>
          <w:sz w:val="28"/>
          <w:szCs w:val="28"/>
        </w:rPr>
        <w:t>Необходимость обеспечения координации работы органов  местного самоуправления</w:t>
      </w:r>
      <w:r w:rsidR="00D25725" w:rsidRPr="008C5F14">
        <w:rPr>
          <w:rFonts w:ascii="Times New Roman" w:hAnsi="Times New Roman" w:cs="Times New Roman"/>
          <w:sz w:val="28"/>
          <w:szCs w:val="28"/>
        </w:rPr>
        <w:t xml:space="preserve"> городского округа, главных распорядителей средств бюджета городского округа </w:t>
      </w:r>
      <w:r w:rsidRPr="008C5F14">
        <w:rPr>
          <w:rFonts w:ascii="Times New Roman" w:hAnsi="Times New Roman" w:cs="Times New Roman"/>
          <w:sz w:val="28"/>
          <w:szCs w:val="28"/>
        </w:rPr>
        <w:t>по выполнению  мероприятий  Программы повышения эффективности бюджетных расходов на</w:t>
      </w:r>
      <w:r w:rsidR="00D25725" w:rsidRPr="008C5F14">
        <w:rPr>
          <w:rFonts w:ascii="Times New Roman" w:hAnsi="Times New Roman" w:cs="Times New Roman"/>
          <w:sz w:val="28"/>
          <w:szCs w:val="28"/>
        </w:rPr>
        <w:t xml:space="preserve"> </w:t>
      </w:r>
      <w:r w:rsidRPr="008C5F14">
        <w:rPr>
          <w:rFonts w:ascii="Times New Roman" w:hAnsi="Times New Roman" w:cs="Times New Roman"/>
          <w:sz w:val="28"/>
          <w:szCs w:val="28"/>
        </w:rPr>
        <w:t>период до 201</w:t>
      </w:r>
      <w:r w:rsidR="00A846A4">
        <w:rPr>
          <w:rFonts w:ascii="Times New Roman" w:hAnsi="Times New Roman" w:cs="Times New Roman"/>
          <w:sz w:val="28"/>
          <w:szCs w:val="28"/>
        </w:rPr>
        <w:t>8</w:t>
      </w:r>
      <w:r w:rsidRPr="008C5F14">
        <w:rPr>
          <w:rFonts w:ascii="Times New Roman" w:hAnsi="Times New Roman" w:cs="Times New Roman"/>
          <w:sz w:val="28"/>
          <w:szCs w:val="28"/>
        </w:rPr>
        <w:t xml:space="preserve"> года, повышению качества управления муниципальными финансами увеличивает актуальность разработки и реализации </w:t>
      </w:r>
      <w:r w:rsidR="00D25725" w:rsidRPr="008C5F14">
        <w:rPr>
          <w:rFonts w:ascii="Times New Roman" w:hAnsi="Times New Roman" w:cs="Times New Roman"/>
          <w:sz w:val="28"/>
          <w:szCs w:val="28"/>
        </w:rPr>
        <w:t>финансовым управлением Клинцовской городской администрации</w:t>
      </w:r>
      <w:r w:rsidRPr="008C5F14">
        <w:rPr>
          <w:rFonts w:ascii="Times New Roman" w:hAnsi="Times New Roman" w:cs="Times New Roman"/>
          <w:sz w:val="28"/>
          <w:szCs w:val="28"/>
        </w:rPr>
        <w:t xml:space="preserve"> специальной </w:t>
      </w:r>
      <w:r w:rsidR="00D25725" w:rsidRPr="008C5F14">
        <w:rPr>
          <w:rFonts w:ascii="Times New Roman" w:hAnsi="Times New Roman" w:cs="Times New Roman"/>
          <w:sz w:val="28"/>
          <w:szCs w:val="28"/>
        </w:rPr>
        <w:t>муниципальной</w:t>
      </w:r>
      <w:r w:rsidRPr="008C5F14">
        <w:rPr>
          <w:rFonts w:ascii="Times New Roman" w:hAnsi="Times New Roman" w:cs="Times New Roman"/>
          <w:sz w:val="28"/>
          <w:szCs w:val="28"/>
        </w:rPr>
        <w:t xml:space="preserve"> про-граммы по обеспечению эффективности управления в сфере финансов.</w:t>
      </w:r>
      <w:proofErr w:type="gramEnd"/>
    </w:p>
    <w:p w:rsidR="00716037" w:rsidRPr="008C5F14" w:rsidRDefault="00716037" w:rsidP="0076455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68E" w:rsidRPr="008C5F14" w:rsidRDefault="000B068E" w:rsidP="0076455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037" w:rsidRPr="008C5F14" w:rsidRDefault="00716037" w:rsidP="0048521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Приоритеты и цели муниципальной политики</w:t>
      </w:r>
    </w:p>
    <w:p w:rsidR="00D03EB7" w:rsidRPr="008C5F14" w:rsidRDefault="00716037" w:rsidP="00D03EB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в сфере управления муниципальными финансами, </w:t>
      </w:r>
    </w:p>
    <w:p w:rsidR="00716037" w:rsidRPr="008C5F14" w:rsidRDefault="00716037" w:rsidP="00D03EB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цели и задачи муниципальной программы</w:t>
      </w:r>
    </w:p>
    <w:p w:rsidR="00D03EB7" w:rsidRPr="008C5F14" w:rsidRDefault="00D03EB7" w:rsidP="00D71E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B068E" w:rsidRPr="008C5F14" w:rsidRDefault="000B068E" w:rsidP="00D71E8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3EB7" w:rsidRPr="008C5F14" w:rsidRDefault="00D03EB7" w:rsidP="00D71E8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Основным стратегическим приоритетом  муниципальной политики городского округа в сфере управления муниципальными финансами  является эффективное использование бюджетных ресурсов для обеспечения динамичного развития экономики, повышения благосостояния и качества жизни населения городского округа «город Клинцы Брянской области».</w:t>
      </w:r>
    </w:p>
    <w:p w:rsidR="00D03EB7" w:rsidRPr="008C5F14" w:rsidRDefault="00AE5F2F" w:rsidP="00D71E8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Программы -</w:t>
      </w:r>
      <w:r w:rsidR="00D03EB7" w:rsidRPr="008C5F14">
        <w:rPr>
          <w:rFonts w:ascii="Times New Roman" w:hAnsi="Times New Roman" w:cs="Times New Roman"/>
          <w:sz w:val="28"/>
          <w:szCs w:val="28"/>
        </w:rPr>
        <w:t xml:space="preserve"> повышение эффективности муниципального управления в сфере финансов.</w:t>
      </w:r>
    </w:p>
    <w:p w:rsidR="00D03EB7" w:rsidRPr="008C5F14" w:rsidRDefault="00D03EB7" w:rsidP="00D71E8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в рамках реализации Программы предусматривается решение следующих </w:t>
      </w:r>
      <w:r w:rsidRPr="00AE5F2F">
        <w:rPr>
          <w:rFonts w:ascii="Times New Roman" w:hAnsi="Times New Roman" w:cs="Times New Roman"/>
          <w:b/>
          <w:i/>
          <w:sz w:val="28"/>
          <w:szCs w:val="28"/>
        </w:rPr>
        <w:t>приоритетных задач</w:t>
      </w:r>
      <w:r w:rsidRPr="008C5F14">
        <w:rPr>
          <w:rFonts w:ascii="Times New Roman" w:hAnsi="Times New Roman" w:cs="Times New Roman"/>
          <w:sz w:val="28"/>
          <w:szCs w:val="28"/>
        </w:rPr>
        <w:t>:</w:t>
      </w:r>
    </w:p>
    <w:p w:rsidR="00D03EB7" w:rsidRPr="008C5F14" w:rsidRDefault="00AE14DD" w:rsidP="00D71E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lastRenderedPageBreak/>
        <w:t>Обеспечение долгосрочной сбалансированности и устойчивости бюджетной системы городского округа, реалистичность бюджета, повышение эффективности распределения бюджетных средств;</w:t>
      </w:r>
    </w:p>
    <w:p w:rsidR="00AE14DD" w:rsidRPr="008C5F14" w:rsidRDefault="00AE14DD" w:rsidP="00D71E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>качества финансового менеджмента главных распорядителей средств бюджета городского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округа, совершенствование финансового обеспечения деятельности бюджетных учреждений;</w:t>
      </w:r>
    </w:p>
    <w:p w:rsidR="00AE14DD" w:rsidRPr="008C5F14" w:rsidRDefault="00AE14DD" w:rsidP="00D71E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Повышение прозрачности бюджетной системы;</w:t>
      </w:r>
    </w:p>
    <w:p w:rsidR="00AE14DD" w:rsidRPr="008C5F14" w:rsidRDefault="00AE14DD" w:rsidP="00D71E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Развитие системы финансового контроля.</w:t>
      </w:r>
    </w:p>
    <w:p w:rsidR="00AE14DD" w:rsidRDefault="00AE5F2F" w:rsidP="00D71E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указанных задач  в 201</w:t>
      </w:r>
      <w:r w:rsidR="00A846A4">
        <w:rPr>
          <w:rFonts w:ascii="Times New Roman" w:hAnsi="Times New Roman" w:cs="Times New Roman"/>
          <w:sz w:val="28"/>
          <w:szCs w:val="28"/>
        </w:rPr>
        <w:t>5-202</w:t>
      </w:r>
      <w:r w:rsidR="00652BE3">
        <w:rPr>
          <w:rFonts w:ascii="Times New Roman" w:hAnsi="Times New Roman" w:cs="Times New Roman"/>
          <w:sz w:val="28"/>
          <w:szCs w:val="28"/>
        </w:rPr>
        <w:t>2</w:t>
      </w:r>
      <w:r w:rsidR="00A8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годах предлагается </w:t>
      </w:r>
      <w:r w:rsidRPr="00AE5F2F">
        <w:rPr>
          <w:rFonts w:ascii="Times New Roman" w:hAnsi="Times New Roman" w:cs="Times New Roman"/>
          <w:b/>
          <w:i/>
          <w:sz w:val="28"/>
          <w:szCs w:val="28"/>
        </w:rPr>
        <w:t>принять решения по следующим основным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5F2F" w:rsidRDefault="00AE5F2F" w:rsidP="00AE5F2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программно-целевых принципов организации деятельности органов местного самоуправления;</w:t>
      </w:r>
    </w:p>
    <w:p w:rsidR="00AE5F2F" w:rsidRDefault="00AE5F2F" w:rsidP="00AE5F2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 программному бюджету;</w:t>
      </w:r>
    </w:p>
    <w:p w:rsidR="00AE5F2F" w:rsidRDefault="00AE5F2F" w:rsidP="00AE5F2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форм оказания муниципальных услуг;</w:t>
      </w:r>
    </w:p>
    <w:p w:rsidR="00AE5F2F" w:rsidRPr="008C5F14" w:rsidRDefault="00AE5F2F" w:rsidP="00AE5F2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</w:t>
      </w:r>
      <w:r w:rsidR="00743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8B" w:rsidRPr="008C5F14" w:rsidRDefault="00D71E8B" w:rsidP="00D71E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68E" w:rsidRPr="008C5F14" w:rsidRDefault="000B068E" w:rsidP="00D71E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E8B" w:rsidRPr="008C5F14" w:rsidRDefault="00D71E8B" w:rsidP="0048521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</w:t>
      </w:r>
    </w:p>
    <w:p w:rsidR="00D71E8B" w:rsidRDefault="00D71E8B" w:rsidP="00AE14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E8B" w:rsidRPr="008C5F14" w:rsidRDefault="00D71E8B" w:rsidP="00AE14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</w:t>
      </w:r>
      <w:r w:rsidR="00C77095" w:rsidRPr="008C5F14">
        <w:rPr>
          <w:rFonts w:ascii="Times New Roman" w:hAnsi="Times New Roman" w:cs="Times New Roman"/>
          <w:sz w:val="28"/>
          <w:szCs w:val="28"/>
        </w:rPr>
        <w:t>предполагается в течение 201</w:t>
      </w:r>
      <w:r w:rsidR="00A846A4">
        <w:rPr>
          <w:rFonts w:ascii="Times New Roman" w:hAnsi="Times New Roman" w:cs="Times New Roman"/>
          <w:sz w:val="28"/>
          <w:szCs w:val="28"/>
        </w:rPr>
        <w:t>5</w:t>
      </w:r>
      <w:r w:rsidR="00C77095" w:rsidRPr="008C5F14">
        <w:rPr>
          <w:rFonts w:ascii="Times New Roman" w:hAnsi="Times New Roman" w:cs="Times New Roman"/>
          <w:sz w:val="28"/>
          <w:szCs w:val="28"/>
        </w:rPr>
        <w:t>-20</w:t>
      </w:r>
      <w:r w:rsidR="00A846A4">
        <w:rPr>
          <w:rFonts w:ascii="Times New Roman" w:hAnsi="Times New Roman" w:cs="Times New Roman"/>
          <w:sz w:val="28"/>
          <w:szCs w:val="28"/>
        </w:rPr>
        <w:t>2</w:t>
      </w:r>
      <w:r w:rsidR="00652BE3">
        <w:rPr>
          <w:rFonts w:ascii="Times New Roman" w:hAnsi="Times New Roman" w:cs="Times New Roman"/>
          <w:sz w:val="28"/>
          <w:szCs w:val="28"/>
        </w:rPr>
        <w:t>2</w:t>
      </w:r>
      <w:r w:rsidR="00C77095" w:rsidRPr="008C5F1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B068E" w:rsidRPr="008C5F14" w:rsidRDefault="000B068E" w:rsidP="00AE14D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7095" w:rsidRPr="008C5F14" w:rsidRDefault="00C77095" w:rsidP="0048521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C77095" w:rsidRPr="008C5F14" w:rsidRDefault="00C77095" w:rsidP="00C7709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C77095" w:rsidRPr="008C5F14" w:rsidRDefault="00C77095" w:rsidP="00C77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68E" w:rsidRPr="008C5F14" w:rsidRDefault="000B068E" w:rsidP="00C77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7095" w:rsidRDefault="00C77095" w:rsidP="00C770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Реализация муниципальной программы будет осуществляться за счет средств бюджета городского округа. Общий объем средств на реализацию муниципальной программы составляет</w:t>
      </w:r>
      <w:r w:rsidR="00D77ACB">
        <w:rPr>
          <w:rFonts w:ascii="Times New Roman" w:hAnsi="Times New Roman" w:cs="Times New Roman"/>
          <w:sz w:val="28"/>
          <w:szCs w:val="28"/>
        </w:rPr>
        <w:t xml:space="preserve"> </w:t>
      </w:r>
      <w:r w:rsidR="00652BE3">
        <w:rPr>
          <w:rFonts w:ascii="Times New Roman" w:hAnsi="Times New Roman" w:cs="Times New Roman"/>
          <w:sz w:val="28"/>
          <w:szCs w:val="28"/>
        </w:rPr>
        <w:t xml:space="preserve">115 543 705,70    </w:t>
      </w:r>
      <w:r w:rsidR="00734BD4">
        <w:rPr>
          <w:rFonts w:ascii="Times New Roman" w:hAnsi="Times New Roman" w:cs="Times New Roman"/>
          <w:sz w:val="28"/>
          <w:szCs w:val="28"/>
        </w:rPr>
        <w:t>руб</w:t>
      </w:r>
      <w:r w:rsidR="00D77ACB">
        <w:rPr>
          <w:rFonts w:ascii="Times New Roman" w:hAnsi="Times New Roman" w:cs="Times New Roman"/>
          <w:sz w:val="28"/>
          <w:szCs w:val="28"/>
        </w:rPr>
        <w:t>лей</w:t>
      </w:r>
      <w:r w:rsidRPr="008C5F1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52BE3" w:rsidRPr="00660ADF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Pr="00660ADF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 xml:space="preserve"> 12 281 549,06 </w:t>
      </w:r>
      <w:r w:rsidRPr="00660AD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660AD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 18 688 572,70 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 15 615 522,87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14 055 997,87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12 540 926,17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14 697 318,29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14 004 130,97 рублей,</w:t>
      </w:r>
    </w:p>
    <w:p w:rsidR="00652BE3" w:rsidRDefault="00652BE3" w:rsidP="00652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13 659 687,77 рублей.</w:t>
      </w:r>
    </w:p>
    <w:p w:rsidR="00C77095" w:rsidRPr="008C5F14" w:rsidRDefault="00C77095" w:rsidP="00C770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7095" w:rsidRPr="008C5F14" w:rsidRDefault="00C77095" w:rsidP="0048521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Основные меры правового регулирования,</w:t>
      </w:r>
    </w:p>
    <w:p w:rsidR="00C77095" w:rsidRPr="008C5F14" w:rsidRDefault="00C77095" w:rsidP="00C7709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направленные на достижение целей (решение задач)</w:t>
      </w:r>
    </w:p>
    <w:p w:rsidR="00C77095" w:rsidRPr="008C5F14" w:rsidRDefault="00C77095" w:rsidP="00C7709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C5F14" w:rsidRPr="008C5F14" w:rsidRDefault="008C5F14" w:rsidP="00C77095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77BF8" w:rsidRPr="008C5F14" w:rsidRDefault="00C74DC8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Основные меры правового регулирования в сфере финансов, нацеленные на выполнение мероприятий и конечные результаты Программы, предусматривают разработку и принятие ряда нормативных правовых  актов </w:t>
      </w:r>
      <w:r w:rsidR="0062158B" w:rsidRPr="008C5F14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8C5F14">
        <w:rPr>
          <w:rFonts w:ascii="Times New Roman" w:hAnsi="Times New Roman" w:cs="Times New Roman"/>
          <w:sz w:val="28"/>
          <w:szCs w:val="28"/>
        </w:rPr>
        <w:t xml:space="preserve">, в том числе постановлений </w:t>
      </w:r>
      <w:r w:rsidR="00616F05" w:rsidRPr="008C5F14">
        <w:rPr>
          <w:rFonts w:ascii="Times New Roman" w:hAnsi="Times New Roman" w:cs="Times New Roman"/>
          <w:sz w:val="28"/>
          <w:szCs w:val="28"/>
        </w:rPr>
        <w:t>Клинцовской городской администрации, приказов финансового управления, носящи</w:t>
      </w:r>
      <w:r w:rsidR="00784E65">
        <w:rPr>
          <w:rFonts w:ascii="Times New Roman" w:hAnsi="Times New Roman" w:cs="Times New Roman"/>
          <w:sz w:val="28"/>
          <w:szCs w:val="28"/>
        </w:rPr>
        <w:t>х</w:t>
      </w:r>
      <w:r w:rsidR="00616F05" w:rsidRPr="008C5F14">
        <w:rPr>
          <w:rFonts w:ascii="Times New Roman" w:hAnsi="Times New Roman" w:cs="Times New Roman"/>
          <w:sz w:val="28"/>
          <w:szCs w:val="28"/>
        </w:rPr>
        <w:t xml:space="preserve"> правовой характер.</w:t>
      </w:r>
    </w:p>
    <w:p w:rsidR="00616F05" w:rsidRPr="008C5F14" w:rsidRDefault="00616F05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 целях обеспечения взаимосвязи стратегического и бюджетного планирования ежегодно предусматривается принятие следующих актов:</w:t>
      </w:r>
    </w:p>
    <w:p w:rsidR="00616F05" w:rsidRPr="008C5F14" w:rsidRDefault="00616F05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- </w:t>
      </w:r>
      <w:r w:rsidR="00266790" w:rsidRPr="008C5F14">
        <w:rPr>
          <w:rFonts w:ascii="Times New Roman" w:hAnsi="Times New Roman" w:cs="Times New Roman"/>
          <w:sz w:val="28"/>
          <w:szCs w:val="28"/>
        </w:rPr>
        <w:t>постановление Клинцовской городской администрации об исполнении бюджета городского округа за отчетный финансовый год;</w:t>
      </w:r>
    </w:p>
    <w:p w:rsidR="00266790" w:rsidRPr="008C5F14" w:rsidRDefault="00266790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приказ финансового управления Клинцовской городской администрации  о порядке и методике планирования бюджетных ассигнований на очередной финансовый год и плановый период;</w:t>
      </w:r>
    </w:p>
    <w:p w:rsidR="00266790" w:rsidRPr="008C5F14" w:rsidRDefault="003E31D7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постановление Клинцовской городской администрации об утверждении регламента работы по формированию проекта бюджета городского округа на очередной финансовый год и плановый период.</w:t>
      </w:r>
    </w:p>
    <w:p w:rsidR="001F1C29" w:rsidRPr="008C5F14" w:rsidRDefault="001F1C29" w:rsidP="00616F0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31EE" w:rsidRDefault="002A31EE" w:rsidP="002A31E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3249F" w:rsidRDefault="00F3249F" w:rsidP="002A31E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933F3" w:rsidRDefault="004933F3" w:rsidP="004933F3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3F3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 xml:space="preserve"> конечных результатов </w:t>
      </w:r>
    </w:p>
    <w:p w:rsidR="001F1C29" w:rsidRPr="004933F3" w:rsidRDefault="004933F3" w:rsidP="004933F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муниципальной программы</w:t>
      </w:r>
    </w:p>
    <w:p w:rsidR="001F1C29" w:rsidRDefault="001F1C29" w:rsidP="001F1C29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0012E" w:rsidRPr="004933F3" w:rsidRDefault="00C0012E" w:rsidP="001F1C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3F3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Программы будут использованы показатели (индикаторы), характеризующие достижение цели Программы и результаты решения задач. </w:t>
      </w:r>
    </w:p>
    <w:p w:rsidR="00824206" w:rsidRPr="004933F3" w:rsidRDefault="00C0012E" w:rsidP="001F1C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3F3">
        <w:rPr>
          <w:rFonts w:ascii="Times New Roman" w:hAnsi="Times New Roman" w:cs="Times New Roman"/>
          <w:sz w:val="28"/>
          <w:szCs w:val="28"/>
        </w:rPr>
        <w:t>Перечень показателей (индикаторов) программы с расшифровкой плановых значений по годам приведен в приложении 1 к настоящей Программе.</w:t>
      </w:r>
    </w:p>
    <w:p w:rsidR="00B53D04" w:rsidRDefault="004B28FD" w:rsidP="001F1C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33F3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программы основана на оценке степени выполнения плановых значений показателей в рамках достижения целей и решения задач программы. </w:t>
      </w:r>
    </w:p>
    <w:p w:rsidR="00E02E10" w:rsidRPr="004933F3" w:rsidRDefault="00E02E10" w:rsidP="001F1C2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приведен в приложении </w:t>
      </w:r>
      <w:r w:rsidR="00B53D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</w:rPr>
        <w:t>Превышение ставки по привлеченным кредитам коммерческих банков над ставкой рефинансирования Банка России определяется следующим образом: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ir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Pr="004933F3">
        <w:rPr>
          <w:i/>
          <w:sz w:val="28"/>
          <w:szCs w:val="28"/>
        </w:rPr>
        <w:t>,  где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rPr>
          <w:i/>
          <w:sz w:val="28"/>
          <w:szCs w:val="28"/>
        </w:rPr>
      </w:pP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  <w:lang w:val="en-US"/>
        </w:rPr>
        <w:t>P</w:t>
      </w:r>
      <w:r w:rsidRPr="004933F3">
        <w:rPr>
          <w:sz w:val="28"/>
          <w:szCs w:val="28"/>
        </w:rPr>
        <w:t xml:space="preserve"> – </w:t>
      </w:r>
      <w:proofErr w:type="gramStart"/>
      <w:r w:rsidRPr="004933F3">
        <w:rPr>
          <w:sz w:val="28"/>
          <w:szCs w:val="28"/>
        </w:rPr>
        <w:t>превышение</w:t>
      </w:r>
      <w:proofErr w:type="gramEnd"/>
      <w:r w:rsidRPr="004933F3">
        <w:rPr>
          <w:sz w:val="28"/>
          <w:szCs w:val="28"/>
        </w:rPr>
        <w:t xml:space="preserve"> ставки по привлеченным кредитам коммерческих банков над ставкой рефинансирования Банка России, %;</w:t>
      </w:r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4933F3" w:rsidRPr="004933F3">
        <w:rPr>
          <w:sz w:val="28"/>
          <w:szCs w:val="28"/>
        </w:rPr>
        <w:t xml:space="preserve"> – ставка по привлеченному </w:t>
      </w:r>
      <w:proofErr w:type="spellStart"/>
      <w:r w:rsidR="004933F3" w:rsidRPr="004933F3">
        <w:rPr>
          <w:sz w:val="28"/>
          <w:szCs w:val="28"/>
          <w:lang w:val="en-US"/>
        </w:rPr>
        <w:t>i</w:t>
      </w:r>
      <w:proofErr w:type="spellEnd"/>
      <w:r w:rsidR="004933F3" w:rsidRPr="004933F3">
        <w:rPr>
          <w:sz w:val="28"/>
          <w:szCs w:val="28"/>
        </w:rPr>
        <w:t>-</w:t>
      </w:r>
      <w:proofErr w:type="spellStart"/>
      <w:r w:rsidR="004933F3" w:rsidRPr="004933F3">
        <w:rPr>
          <w:sz w:val="28"/>
          <w:szCs w:val="28"/>
        </w:rPr>
        <w:t>му</w:t>
      </w:r>
      <w:proofErr w:type="spellEnd"/>
      <w:r w:rsidR="004933F3" w:rsidRPr="004933F3">
        <w:rPr>
          <w:sz w:val="28"/>
          <w:szCs w:val="28"/>
        </w:rPr>
        <w:t xml:space="preserve"> кредиту коммерческого банка</w:t>
      </w:r>
      <w:proofErr w:type="gramStart"/>
      <w:r w:rsidR="004933F3" w:rsidRPr="004933F3">
        <w:rPr>
          <w:sz w:val="28"/>
          <w:szCs w:val="28"/>
        </w:rPr>
        <w:t>, %;</w:t>
      </w:r>
      <w:proofErr w:type="gramEnd"/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ir</m:t>
            </m:r>
          </m:sub>
        </m:sSub>
      </m:oMath>
      <w:r w:rsidR="004933F3" w:rsidRPr="004933F3">
        <w:rPr>
          <w:sz w:val="28"/>
          <w:szCs w:val="28"/>
        </w:rPr>
        <w:t xml:space="preserve"> – ставка рефинансирования Банка России, действовавшая на момент привлечения </w:t>
      </w:r>
      <w:proofErr w:type="spellStart"/>
      <w:r w:rsidR="004933F3" w:rsidRPr="004933F3">
        <w:rPr>
          <w:sz w:val="28"/>
          <w:szCs w:val="28"/>
          <w:lang w:val="en-US"/>
        </w:rPr>
        <w:t>i</w:t>
      </w:r>
      <w:proofErr w:type="spellEnd"/>
      <w:r w:rsidR="004933F3" w:rsidRPr="004933F3">
        <w:rPr>
          <w:sz w:val="28"/>
          <w:szCs w:val="28"/>
        </w:rPr>
        <w:t>-го кредита коммерческого банка</w:t>
      </w:r>
      <w:proofErr w:type="gramStart"/>
      <w:r w:rsidR="004933F3" w:rsidRPr="004933F3">
        <w:rPr>
          <w:sz w:val="28"/>
          <w:szCs w:val="28"/>
        </w:rPr>
        <w:t>, %;</w:t>
      </w:r>
      <w:proofErr w:type="gramEnd"/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  <w:lang w:val="en-US"/>
        </w:rPr>
        <w:t>n</w:t>
      </w:r>
      <w:r w:rsidRPr="004933F3">
        <w:rPr>
          <w:sz w:val="28"/>
          <w:szCs w:val="28"/>
        </w:rPr>
        <w:t xml:space="preserve"> – </w:t>
      </w:r>
      <w:proofErr w:type="gramStart"/>
      <w:r w:rsidRPr="004933F3">
        <w:rPr>
          <w:sz w:val="28"/>
          <w:szCs w:val="28"/>
        </w:rPr>
        <w:t>количество</w:t>
      </w:r>
      <w:proofErr w:type="gramEnd"/>
      <w:r w:rsidRPr="004933F3">
        <w:rPr>
          <w:sz w:val="28"/>
          <w:szCs w:val="28"/>
        </w:rPr>
        <w:t xml:space="preserve"> привлеченных за отчетный период кредитов коммерческих банков, единиц.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</w:rPr>
        <w:lastRenderedPageBreak/>
        <w:t>Доля просроченной кредиторской задолженности по состоянию на конец отчетного периода в общем объеме расходов бюджета городского округа определяется следующим образом: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den>
        </m:f>
        <m:r>
          <w:rPr>
            <w:rFonts w:ascii="Cambria Math" w:hAnsi="Cambria Math"/>
            <w:sz w:val="28"/>
            <w:szCs w:val="28"/>
          </w:rPr>
          <m:t>*100%</m:t>
        </m:r>
      </m:oMath>
      <w:r w:rsidRPr="004933F3">
        <w:rPr>
          <w:sz w:val="28"/>
          <w:szCs w:val="28"/>
        </w:rPr>
        <w:t xml:space="preserve"> , где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  <w:lang w:val="en-US"/>
        </w:rPr>
        <w:t>P</w:t>
      </w:r>
      <w:r w:rsidRPr="004933F3">
        <w:rPr>
          <w:sz w:val="28"/>
          <w:szCs w:val="28"/>
        </w:rPr>
        <w:t xml:space="preserve"> – </w:t>
      </w:r>
      <w:proofErr w:type="gramStart"/>
      <w:r w:rsidRPr="004933F3">
        <w:rPr>
          <w:sz w:val="28"/>
          <w:szCs w:val="28"/>
        </w:rPr>
        <w:t>доля</w:t>
      </w:r>
      <w:proofErr w:type="gramEnd"/>
      <w:r w:rsidRPr="004933F3">
        <w:rPr>
          <w:sz w:val="28"/>
          <w:szCs w:val="28"/>
        </w:rPr>
        <w:t xml:space="preserve"> просроченной кредиторской задолженности в общем объеме расходов бюджета городского округа,</w:t>
      </w:r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4933F3" w:rsidRPr="004933F3">
        <w:rPr>
          <w:sz w:val="28"/>
          <w:szCs w:val="28"/>
        </w:rPr>
        <w:t xml:space="preserve"> – объем просроченной кредиторской задолженности по состоянию на конец отчетного периода, тыс. рублей,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933F3">
        <w:rPr>
          <w:sz w:val="28"/>
          <w:szCs w:val="28"/>
          <w:lang w:val="en-US"/>
        </w:rPr>
        <w:t>S</w:t>
      </w:r>
      <w:r w:rsidRPr="004933F3">
        <w:rPr>
          <w:sz w:val="28"/>
          <w:szCs w:val="28"/>
        </w:rPr>
        <w:t xml:space="preserve"> – </w:t>
      </w:r>
      <w:proofErr w:type="gramStart"/>
      <w:r w:rsidRPr="004933F3">
        <w:rPr>
          <w:sz w:val="28"/>
          <w:szCs w:val="28"/>
        </w:rPr>
        <w:t>исполнение</w:t>
      </w:r>
      <w:proofErr w:type="gramEnd"/>
      <w:r w:rsidRPr="004933F3">
        <w:rPr>
          <w:sz w:val="28"/>
          <w:szCs w:val="28"/>
        </w:rPr>
        <w:t xml:space="preserve"> бюджета городского округа по расходам за отчетный период, тыс. рублей.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4933F3">
        <w:rPr>
          <w:sz w:val="28"/>
          <w:szCs w:val="28"/>
        </w:rPr>
        <w:t>Отклонение фактического объема налоговых и неналоговых доходов за отчетный период от утвержденного плана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4933F3" w:rsidRPr="004933F3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</m:sSub>
          </m:den>
        </m:f>
      </m:oMath>
      <w:r w:rsidR="004933F3" w:rsidRPr="004933F3">
        <w:rPr>
          <w:sz w:val="28"/>
          <w:szCs w:val="28"/>
        </w:rPr>
        <w:t xml:space="preserve"> , где</w:t>
      </w:r>
    </w:p>
    <w:p w:rsidR="004933F3" w:rsidRPr="004933F3" w:rsidRDefault="004933F3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4933F3" w:rsidRPr="004933F3">
        <w:rPr>
          <w:sz w:val="28"/>
          <w:szCs w:val="28"/>
        </w:rPr>
        <w:t xml:space="preserve"> – отклонение фактического объема налоговых и неналоговых доходов за отчетный период от утвержденного плана,</w:t>
      </w:r>
    </w:p>
    <w:p w:rsidR="004933F3" w:rsidRPr="004933F3" w:rsidRDefault="00AF3454" w:rsidP="004933F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f</m:t>
            </m:r>
          </m:sub>
        </m:sSub>
      </m:oMath>
      <w:r w:rsidR="004933F3" w:rsidRPr="004933F3">
        <w:rPr>
          <w:i/>
          <w:sz w:val="28"/>
          <w:szCs w:val="28"/>
        </w:rPr>
        <w:t xml:space="preserve"> – </w:t>
      </w:r>
      <w:r w:rsidR="004933F3" w:rsidRPr="004933F3">
        <w:rPr>
          <w:sz w:val="28"/>
          <w:szCs w:val="28"/>
        </w:rPr>
        <w:t>исполнение бюджета городского округа по налоговым и неналоговым доходам за отчетный период,</w:t>
      </w:r>
    </w:p>
    <w:p w:rsidR="004933F3" w:rsidRPr="004933F3" w:rsidRDefault="00AF3454" w:rsidP="004933F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</m:oMath>
      <w:r w:rsidR="004933F3" w:rsidRPr="004933F3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33F3" w:rsidRPr="004933F3">
        <w:rPr>
          <w:rFonts w:ascii="Times New Roman" w:hAnsi="Times New Roman" w:cs="Times New Roman"/>
          <w:sz w:val="28"/>
          <w:szCs w:val="28"/>
        </w:rPr>
        <w:t xml:space="preserve"> запланированный на отчетный период объем налоговых и неналоговых доходов, тыс. рублей</w:t>
      </w:r>
    </w:p>
    <w:p w:rsidR="00824206" w:rsidRPr="004933F3" w:rsidRDefault="00824206" w:rsidP="001F1C29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D2650" w:rsidRPr="004933F3" w:rsidRDefault="009D2650" w:rsidP="00616F0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2650" w:rsidRPr="008C5F14" w:rsidRDefault="009D2650" w:rsidP="00485217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3F3">
        <w:rPr>
          <w:rFonts w:ascii="Times New Roman" w:hAnsi="Times New Roman" w:cs="Times New Roman"/>
          <w:sz w:val="28"/>
          <w:szCs w:val="28"/>
        </w:rPr>
        <w:t>Анализ рисков реализации муниципальной</w:t>
      </w:r>
      <w:r w:rsidRPr="008C5F14">
        <w:rPr>
          <w:rFonts w:ascii="Times New Roman" w:hAnsi="Times New Roman" w:cs="Times New Roman"/>
          <w:sz w:val="28"/>
          <w:szCs w:val="28"/>
        </w:rPr>
        <w:t xml:space="preserve"> программы,</w:t>
      </w:r>
    </w:p>
    <w:p w:rsidR="0007393A" w:rsidRPr="008C5F14" w:rsidRDefault="009D2650" w:rsidP="009D2650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описание мер по управлению рисками</w:t>
      </w:r>
    </w:p>
    <w:p w:rsidR="009D2650" w:rsidRPr="008C5F14" w:rsidRDefault="009D2650" w:rsidP="009D2650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D2650" w:rsidRPr="008C5F14" w:rsidRDefault="009D2650" w:rsidP="007C35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9D2650" w:rsidRPr="008C5F14" w:rsidRDefault="007C3593" w:rsidP="007C3593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  </w:t>
      </w:r>
      <w:r w:rsidR="00A018E2">
        <w:rPr>
          <w:rFonts w:ascii="Times New Roman" w:hAnsi="Times New Roman" w:cs="Times New Roman"/>
          <w:sz w:val="28"/>
          <w:szCs w:val="28"/>
        </w:rPr>
        <w:t>И</w:t>
      </w:r>
      <w:r w:rsidR="009D2650" w:rsidRPr="008C5F14">
        <w:rPr>
          <w:rFonts w:ascii="Times New Roman" w:hAnsi="Times New Roman" w:cs="Times New Roman"/>
          <w:sz w:val="28"/>
          <w:szCs w:val="28"/>
        </w:rPr>
        <w:t xml:space="preserve">зменение экономической ситуации в мировой финансовой системе, Российской Федерации, Брянской области, связанное с неустойчивостью макроэкономических параметров (уровень инфляции, темпы экономического роста, уровень платежеспособности предприятий, населения, изменение ставки рефинансирования Центрального Банка Российской Федерации, изменение обменного курса валют, уровень политической стабильности </w:t>
      </w:r>
      <w:r w:rsidRPr="008C5F14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7C3593" w:rsidRPr="008C5F14" w:rsidRDefault="00A018E2" w:rsidP="00DE63A7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593" w:rsidRPr="008C5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C3593" w:rsidRPr="008C5F14">
        <w:rPr>
          <w:rFonts w:ascii="Times New Roman" w:hAnsi="Times New Roman" w:cs="Times New Roman"/>
          <w:sz w:val="28"/>
          <w:szCs w:val="28"/>
        </w:rPr>
        <w:t>озникновение новых расходных обязательств без источника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593" w:rsidRPr="008C5F14" w:rsidRDefault="00A018E2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3593" w:rsidRPr="008C5F14">
        <w:rPr>
          <w:rFonts w:ascii="Times New Roman" w:hAnsi="Times New Roman" w:cs="Times New Roman"/>
          <w:sz w:val="28"/>
          <w:szCs w:val="28"/>
        </w:rPr>
        <w:t>озникновение новых «необеспеченных» обязатель</w:t>
      </w:r>
      <w:proofErr w:type="gramStart"/>
      <w:r w:rsidR="007C3593" w:rsidRPr="008C5F14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7C3593" w:rsidRPr="008C5F14">
        <w:rPr>
          <w:rFonts w:ascii="Times New Roman" w:hAnsi="Times New Roman" w:cs="Times New Roman"/>
          <w:sz w:val="28"/>
          <w:szCs w:val="28"/>
        </w:rPr>
        <w:t xml:space="preserve">авит под угрозу задачи снижения объема муниципального внутреннего долга </w:t>
      </w:r>
      <w:r w:rsidR="007C3593" w:rsidRPr="008C5F14">
        <w:rPr>
          <w:rFonts w:ascii="Times New Roman" w:hAnsi="Times New Roman" w:cs="Times New Roman"/>
          <w:sz w:val="28"/>
          <w:szCs w:val="28"/>
        </w:rPr>
        <w:lastRenderedPageBreak/>
        <w:t>городского округа, сокращение дефицита бюджета городского округа, неизбежно приведет к образов</w:t>
      </w:r>
      <w:r w:rsidR="00DE63A7" w:rsidRPr="008C5F14">
        <w:rPr>
          <w:rFonts w:ascii="Times New Roman" w:hAnsi="Times New Roman" w:cs="Times New Roman"/>
          <w:sz w:val="28"/>
          <w:szCs w:val="28"/>
        </w:rPr>
        <w:t>анию кредиторской задолженности;</w:t>
      </w:r>
    </w:p>
    <w:p w:rsidR="00DE63A7" w:rsidRPr="008C5F14" w:rsidRDefault="00A018E2" w:rsidP="00DE63A7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3A7" w:rsidRPr="008C5F14">
        <w:rPr>
          <w:rFonts w:ascii="Times New Roman" w:hAnsi="Times New Roman" w:cs="Times New Roman"/>
          <w:sz w:val="28"/>
          <w:szCs w:val="28"/>
        </w:rPr>
        <w:t>Приверженность органов местного самоуправления городского округа к формальному подходу к планированию результатов своей деятельности, недостаток обоснованности и точности оценок бюджетных ассигнований и результатов.</w:t>
      </w:r>
    </w:p>
    <w:p w:rsidR="00DE63A7" w:rsidRPr="008C5F14" w:rsidRDefault="00DE63A7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Большинство принятых нормативных правовых документов, регламентирующих процесс целеполагания и планирования бюджетных ассигнований в увязке с показателями конечного результата, исполняются органами местного самоуправления городского округа в большей степени</w:t>
      </w:r>
      <w:r w:rsidR="00094425">
        <w:rPr>
          <w:rFonts w:ascii="Times New Roman" w:hAnsi="Times New Roman" w:cs="Times New Roman"/>
          <w:sz w:val="28"/>
          <w:szCs w:val="28"/>
        </w:rPr>
        <w:t xml:space="preserve"> </w:t>
      </w:r>
      <w:r w:rsidRPr="008C5F14">
        <w:rPr>
          <w:rFonts w:ascii="Times New Roman" w:hAnsi="Times New Roman" w:cs="Times New Roman"/>
          <w:sz w:val="28"/>
          <w:szCs w:val="28"/>
        </w:rPr>
        <w:t xml:space="preserve"> формально</w:t>
      </w:r>
      <w:r w:rsidR="00094425">
        <w:rPr>
          <w:rFonts w:ascii="Times New Roman" w:hAnsi="Times New Roman" w:cs="Times New Roman"/>
          <w:sz w:val="28"/>
          <w:szCs w:val="28"/>
        </w:rPr>
        <w:t xml:space="preserve"> </w:t>
      </w:r>
      <w:r w:rsidRPr="008C5F14"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>отчитаться о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проделанной работе. Результаты данной работы зачастую не используются в повседневной деятельности органов местного самоуправления и муниципальных служащих.</w:t>
      </w:r>
    </w:p>
    <w:p w:rsidR="00DE63A7" w:rsidRPr="008C5F14" w:rsidRDefault="00DE63A7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С целью минимизации риска формального отношения к осуществляемым мероприятиям по повышению эффективности бюджетных расходов планируется:</w:t>
      </w:r>
    </w:p>
    <w:p w:rsidR="00DE63A7" w:rsidRPr="008C5F14" w:rsidRDefault="00DE63A7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взаимоувязка целей, задач и результатов деятельности органов местного самоуправления с выделяемыми бюджетными ассигнованиями в рамках единого документа – муниципальной программы, по результатам исполнения которой нормативно закреплен механизм корректировки бюджетных ассигнований;</w:t>
      </w:r>
    </w:p>
    <w:p w:rsidR="00DE63A7" w:rsidRPr="008C5F14" w:rsidRDefault="00DE63A7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повышение прозрачности деятельности органов местного самоуправления путем установки требований публикации всех принимаемых правовых актов и разрабатываемых документов в сфере деятельности соответствующего органа на сайте Клинцовской городской администрации;</w:t>
      </w:r>
    </w:p>
    <w:p w:rsidR="00ED6BEE" w:rsidRPr="008C5F14" w:rsidRDefault="00ED6BEE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8C5F1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5F14"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самоуправления установленных сроков, правил и процедур подготовки документов, в том числе путем развития системы внутреннего контроля и аудита на ведомственном уровне.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 xml:space="preserve">- </w:t>
      </w:r>
      <w:r w:rsidR="00227776" w:rsidRPr="008C5F14">
        <w:rPr>
          <w:rFonts w:ascii="Times New Roman" w:hAnsi="Times New Roman" w:cs="Times New Roman"/>
          <w:sz w:val="28"/>
          <w:szCs w:val="28"/>
        </w:rPr>
        <w:t>ф</w:t>
      </w:r>
      <w:r w:rsidRPr="008C5F14">
        <w:rPr>
          <w:rFonts w:ascii="Times New Roman" w:hAnsi="Times New Roman" w:cs="Times New Roman"/>
          <w:sz w:val="28"/>
          <w:szCs w:val="28"/>
        </w:rPr>
        <w:t>ормирование эффективной системы управления Программой, на основе четкого распределения функций  и полномочий в финансовом управлении Клинцовской городской администрации;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детальное планирование мероприятий Программы;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оперативный мониторинг выполнения мероприятий Программы;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разработка и принятие правовых актов, регулирующих отношения в сфере финансов;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F14">
        <w:rPr>
          <w:rFonts w:ascii="Times New Roman" w:hAnsi="Times New Roman" w:cs="Times New Roman"/>
          <w:sz w:val="28"/>
          <w:szCs w:val="28"/>
        </w:rPr>
        <w:t>- принятие иных мер в соответствии с полномочиями.</w:t>
      </w:r>
    </w:p>
    <w:p w:rsidR="00ED6BEE" w:rsidRPr="008C5F14" w:rsidRDefault="00ED6BEE" w:rsidP="0022777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3A7" w:rsidRPr="008C5F14" w:rsidRDefault="00DE63A7" w:rsidP="00DE63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E63A7" w:rsidRPr="008C5F14" w:rsidSect="00411DED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0D3"/>
    <w:multiLevelType w:val="hybridMultilevel"/>
    <w:tmpl w:val="E56C040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22B6D"/>
    <w:multiLevelType w:val="hybridMultilevel"/>
    <w:tmpl w:val="E56C040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97002"/>
    <w:multiLevelType w:val="hybridMultilevel"/>
    <w:tmpl w:val="B6E26F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8D3640F"/>
    <w:multiLevelType w:val="hybridMultilevel"/>
    <w:tmpl w:val="8232565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0057A"/>
    <w:multiLevelType w:val="hybridMultilevel"/>
    <w:tmpl w:val="AC86071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33C6885"/>
    <w:multiLevelType w:val="hybridMultilevel"/>
    <w:tmpl w:val="60F4E834"/>
    <w:lvl w:ilvl="0" w:tplc="75188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CD7960"/>
    <w:multiLevelType w:val="hybridMultilevel"/>
    <w:tmpl w:val="32E4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567F8"/>
    <w:multiLevelType w:val="hybridMultilevel"/>
    <w:tmpl w:val="D61C9A2A"/>
    <w:lvl w:ilvl="0" w:tplc="81843A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B2CBB"/>
    <w:multiLevelType w:val="hybridMultilevel"/>
    <w:tmpl w:val="AB044358"/>
    <w:lvl w:ilvl="0" w:tplc="6AE66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033776"/>
    <w:multiLevelType w:val="hybridMultilevel"/>
    <w:tmpl w:val="CCAC9014"/>
    <w:lvl w:ilvl="0" w:tplc="E7320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EE0866"/>
    <w:multiLevelType w:val="hybridMultilevel"/>
    <w:tmpl w:val="AA1A2174"/>
    <w:lvl w:ilvl="0" w:tplc="184EE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BA793B"/>
    <w:multiLevelType w:val="hybridMultilevel"/>
    <w:tmpl w:val="0038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D176C"/>
    <w:multiLevelType w:val="hybridMultilevel"/>
    <w:tmpl w:val="9F88D2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0"/>
  <w:characterSpacingControl w:val="doNotCompress"/>
  <w:compat/>
  <w:rsids>
    <w:rsidRoot w:val="006E58CF"/>
    <w:rsid w:val="0000436C"/>
    <w:rsid w:val="00005FE0"/>
    <w:rsid w:val="0001517E"/>
    <w:rsid w:val="00040F64"/>
    <w:rsid w:val="00042C0E"/>
    <w:rsid w:val="00053CB3"/>
    <w:rsid w:val="0007393A"/>
    <w:rsid w:val="00082141"/>
    <w:rsid w:val="00094425"/>
    <w:rsid w:val="000B068E"/>
    <w:rsid w:val="000B49AB"/>
    <w:rsid w:val="000C30E5"/>
    <w:rsid w:val="000C68CF"/>
    <w:rsid w:val="000E3B9A"/>
    <w:rsid w:val="000F0FF9"/>
    <w:rsid w:val="000F59C5"/>
    <w:rsid w:val="00111750"/>
    <w:rsid w:val="00117A45"/>
    <w:rsid w:val="001B4A63"/>
    <w:rsid w:val="001D0D4D"/>
    <w:rsid w:val="001D3C3D"/>
    <w:rsid w:val="001F1C29"/>
    <w:rsid w:val="00206D4A"/>
    <w:rsid w:val="00211487"/>
    <w:rsid w:val="00227776"/>
    <w:rsid w:val="002324EB"/>
    <w:rsid w:val="00253823"/>
    <w:rsid w:val="00263F40"/>
    <w:rsid w:val="00266790"/>
    <w:rsid w:val="002811BB"/>
    <w:rsid w:val="002923C1"/>
    <w:rsid w:val="002A31EE"/>
    <w:rsid w:val="002D242E"/>
    <w:rsid w:val="002E414F"/>
    <w:rsid w:val="002F3B19"/>
    <w:rsid w:val="002F5109"/>
    <w:rsid w:val="00306532"/>
    <w:rsid w:val="003136A1"/>
    <w:rsid w:val="003B510B"/>
    <w:rsid w:val="003B5AFE"/>
    <w:rsid w:val="003B72D7"/>
    <w:rsid w:val="003E31D7"/>
    <w:rsid w:val="00400558"/>
    <w:rsid w:val="004061C6"/>
    <w:rsid w:val="00411DED"/>
    <w:rsid w:val="004369B4"/>
    <w:rsid w:val="00437776"/>
    <w:rsid w:val="004423B1"/>
    <w:rsid w:val="00454088"/>
    <w:rsid w:val="00454171"/>
    <w:rsid w:val="00485217"/>
    <w:rsid w:val="00490ED5"/>
    <w:rsid w:val="004933F3"/>
    <w:rsid w:val="00493E23"/>
    <w:rsid w:val="004B28FD"/>
    <w:rsid w:val="004E05B4"/>
    <w:rsid w:val="00512785"/>
    <w:rsid w:val="005377B7"/>
    <w:rsid w:val="00556051"/>
    <w:rsid w:val="00560246"/>
    <w:rsid w:val="00565F1E"/>
    <w:rsid w:val="00571552"/>
    <w:rsid w:val="00574624"/>
    <w:rsid w:val="00584BB3"/>
    <w:rsid w:val="00586BA3"/>
    <w:rsid w:val="00586CE9"/>
    <w:rsid w:val="00591165"/>
    <w:rsid w:val="0059327A"/>
    <w:rsid w:val="005A1D5E"/>
    <w:rsid w:val="005B1E88"/>
    <w:rsid w:val="005B687B"/>
    <w:rsid w:val="005C3C64"/>
    <w:rsid w:val="005E5D8A"/>
    <w:rsid w:val="00602A27"/>
    <w:rsid w:val="00616F05"/>
    <w:rsid w:val="0062158B"/>
    <w:rsid w:val="006255DD"/>
    <w:rsid w:val="006335DA"/>
    <w:rsid w:val="00652BE3"/>
    <w:rsid w:val="00660ADF"/>
    <w:rsid w:val="006614F2"/>
    <w:rsid w:val="006641CC"/>
    <w:rsid w:val="006A0CC0"/>
    <w:rsid w:val="006A185A"/>
    <w:rsid w:val="006A2CA0"/>
    <w:rsid w:val="006A2F94"/>
    <w:rsid w:val="006E58CF"/>
    <w:rsid w:val="0070175E"/>
    <w:rsid w:val="00716037"/>
    <w:rsid w:val="00734BD4"/>
    <w:rsid w:val="00743C44"/>
    <w:rsid w:val="00760746"/>
    <w:rsid w:val="00761BE0"/>
    <w:rsid w:val="00764555"/>
    <w:rsid w:val="00782066"/>
    <w:rsid w:val="00784E65"/>
    <w:rsid w:val="007C2562"/>
    <w:rsid w:val="007C3593"/>
    <w:rsid w:val="007C3AF6"/>
    <w:rsid w:val="007D3BB4"/>
    <w:rsid w:val="007F1B68"/>
    <w:rsid w:val="00824206"/>
    <w:rsid w:val="0084598D"/>
    <w:rsid w:val="00847FF7"/>
    <w:rsid w:val="00862CAC"/>
    <w:rsid w:val="00863387"/>
    <w:rsid w:val="008A1E3C"/>
    <w:rsid w:val="008A2B0F"/>
    <w:rsid w:val="008C16A7"/>
    <w:rsid w:val="008C2945"/>
    <w:rsid w:val="008C5F14"/>
    <w:rsid w:val="00901693"/>
    <w:rsid w:val="00942BB0"/>
    <w:rsid w:val="0094488D"/>
    <w:rsid w:val="009565DD"/>
    <w:rsid w:val="009C759E"/>
    <w:rsid w:val="009D2650"/>
    <w:rsid w:val="009D4DBA"/>
    <w:rsid w:val="00A018E2"/>
    <w:rsid w:val="00A129D7"/>
    <w:rsid w:val="00A2750B"/>
    <w:rsid w:val="00A40CF4"/>
    <w:rsid w:val="00A47BAD"/>
    <w:rsid w:val="00A77CE5"/>
    <w:rsid w:val="00A846A4"/>
    <w:rsid w:val="00A9421B"/>
    <w:rsid w:val="00A967DE"/>
    <w:rsid w:val="00AA37A3"/>
    <w:rsid w:val="00AC231D"/>
    <w:rsid w:val="00AD0DA9"/>
    <w:rsid w:val="00AD2B9B"/>
    <w:rsid w:val="00AD4BC9"/>
    <w:rsid w:val="00AE14DD"/>
    <w:rsid w:val="00AE50A8"/>
    <w:rsid w:val="00AE5F2F"/>
    <w:rsid w:val="00AE65D7"/>
    <w:rsid w:val="00AF3454"/>
    <w:rsid w:val="00B43738"/>
    <w:rsid w:val="00B53D04"/>
    <w:rsid w:val="00B5553A"/>
    <w:rsid w:val="00B80A44"/>
    <w:rsid w:val="00B81669"/>
    <w:rsid w:val="00BA47E8"/>
    <w:rsid w:val="00BA68A9"/>
    <w:rsid w:val="00BC01C0"/>
    <w:rsid w:val="00BE075B"/>
    <w:rsid w:val="00C0012E"/>
    <w:rsid w:val="00C37CE9"/>
    <w:rsid w:val="00C60646"/>
    <w:rsid w:val="00C74DC8"/>
    <w:rsid w:val="00C77095"/>
    <w:rsid w:val="00C96969"/>
    <w:rsid w:val="00CB634D"/>
    <w:rsid w:val="00CC4A0F"/>
    <w:rsid w:val="00CE05CB"/>
    <w:rsid w:val="00CE4CA5"/>
    <w:rsid w:val="00CE6633"/>
    <w:rsid w:val="00D03EB7"/>
    <w:rsid w:val="00D15D49"/>
    <w:rsid w:val="00D2101C"/>
    <w:rsid w:val="00D25725"/>
    <w:rsid w:val="00D31D28"/>
    <w:rsid w:val="00D4080F"/>
    <w:rsid w:val="00D41DA0"/>
    <w:rsid w:val="00D66D99"/>
    <w:rsid w:val="00D71E8B"/>
    <w:rsid w:val="00D74AC8"/>
    <w:rsid w:val="00D778D8"/>
    <w:rsid w:val="00D77ACB"/>
    <w:rsid w:val="00D92B56"/>
    <w:rsid w:val="00D93332"/>
    <w:rsid w:val="00DE63A7"/>
    <w:rsid w:val="00DE6D83"/>
    <w:rsid w:val="00E02E10"/>
    <w:rsid w:val="00E26FDE"/>
    <w:rsid w:val="00E4283B"/>
    <w:rsid w:val="00E454C5"/>
    <w:rsid w:val="00E533B3"/>
    <w:rsid w:val="00E6659F"/>
    <w:rsid w:val="00E77BF8"/>
    <w:rsid w:val="00E829A4"/>
    <w:rsid w:val="00ED3935"/>
    <w:rsid w:val="00ED6BEE"/>
    <w:rsid w:val="00EF7EEF"/>
    <w:rsid w:val="00F0711B"/>
    <w:rsid w:val="00F131BA"/>
    <w:rsid w:val="00F14A08"/>
    <w:rsid w:val="00F3249F"/>
    <w:rsid w:val="00F33B45"/>
    <w:rsid w:val="00F37942"/>
    <w:rsid w:val="00F54C7A"/>
    <w:rsid w:val="00F60A75"/>
    <w:rsid w:val="00F72865"/>
    <w:rsid w:val="00FC3A3F"/>
    <w:rsid w:val="00FF0DB7"/>
    <w:rsid w:val="00FF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A45"/>
    <w:pPr>
      <w:spacing w:after="0" w:line="240" w:lineRule="auto"/>
    </w:pPr>
  </w:style>
  <w:style w:type="table" w:styleId="a4">
    <w:name w:val="Table Grid"/>
    <w:basedOn w:val="1"/>
    <w:uiPriority w:val="59"/>
    <w:rsid w:val="00117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Cell">
    <w:name w:val="ConsPlusCell"/>
    <w:uiPriority w:val="99"/>
    <w:rsid w:val="00C60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131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725"/>
    <w:rPr>
      <w:rFonts w:ascii="Tahoma" w:eastAsia="Times New Roman" w:hAnsi="Tahoma" w:cs="Tahoma"/>
      <w:sz w:val="16"/>
      <w:szCs w:val="16"/>
      <w:lang w:eastAsia="ru-RU"/>
    </w:rPr>
  </w:style>
  <w:style w:type="table" w:styleId="2-3">
    <w:name w:val="Medium Shading 2 Accent 3"/>
    <w:basedOn w:val="a1"/>
    <w:uiPriority w:val="64"/>
    <w:rsid w:val="00B816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Table Web 2"/>
    <w:basedOn w:val="a1"/>
    <w:uiPriority w:val="99"/>
    <w:semiHidden/>
    <w:unhideWhenUsed/>
    <w:rsid w:val="00B8166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8166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semiHidden/>
    <w:unhideWhenUsed/>
    <w:rsid w:val="00B81669"/>
    <w:pPr>
      <w:spacing w:after="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semiHidden/>
    <w:unhideWhenUsed/>
    <w:rsid w:val="00B81669"/>
    <w:pPr>
      <w:spacing w:after="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3D effects 1"/>
    <w:basedOn w:val="a1"/>
    <w:uiPriority w:val="99"/>
    <w:semiHidden/>
    <w:unhideWhenUsed/>
    <w:rsid w:val="00B8166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uiPriority w:val="99"/>
    <w:semiHidden/>
    <w:unhideWhenUsed/>
    <w:rsid w:val="00B81669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lassic 1"/>
    <w:basedOn w:val="a1"/>
    <w:uiPriority w:val="99"/>
    <w:semiHidden/>
    <w:unhideWhenUsed/>
    <w:rsid w:val="005C3C64"/>
    <w:pPr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A45"/>
    <w:pPr>
      <w:spacing w:after="0" w:line="240" w:lineRule="auto"/>
    </w:pPr>
  </w:style>
  <w:style w:type="table" w:styleId="a4">
    <w:name w:val="Table Grid"/>
    <w:basedOn w:val="1"/>
    <w:uiPriority w:val="59"/>
    <w:rsid w:val="0011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Cell">
    <w:name w:val="ConsPlusCell"/>
    <w:uiPriority w:val="99"/>
    <w:rsid w:val="00C60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131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725"/>
    <w:rPr>
      <w:rFonts w:ascii="Tahoma" w:eastAsia="Times New Roman" w:hAnsi="Tahoma" w:cs="Tahoma"/>
      <w:sz w:val="16"/>
      <w:szCs w:val="16"/>
      <w:lang w:eastAsia="ru-RU"/>
    </w:rPr>
  </w:style>
  <w:style w:type="table" w:styleId="2-3">
    <w:name w:val="Medium Shading 2 Accent 3"/>
    <w:basedOn w:val="a1"/>
    <w:uiPriority w:val="64"/>
    <w:rsid w:val="00B816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Table Web 2"/>
    <w:basedOn w:val="a1"/>
    <w:uiPriority w:val="99"/>
    <w:semiHidden/>
    <w:unhideWhenUsed/>
    <w:rsid w:val="00B81669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81669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semiHidden/>
    <w:unhideWhenUsed/>
    <w:rsid w:val="00B81669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semiHidden/>
    <w:unhideWhenUsed/>
    <w:rsid w:val="00B81669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3D effects 1"/>
    <w:basedOn w:val="a1"/>
    <w:uiPriority w:val="99"/>
    <w:semiHidden/>
    <w:unhideWhenUsed/>
    <w:rsid w:val="00B81669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uiPriority w:val="99"/>
    <w:semiHidden/>
    <w:unhideWhenUsed/>
    <w:rsid w:val="00B8166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lassic 1"/>
    <w:basedOn w:val="a1"/>
    <w:uiPriority w:val="99"/>
    <w:semiHidden/>
    <w:unhideWhenUsed/>
    <w:rsid w:val="005C3C6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A4EBB26851CBA23EEF81CB44403DCBA5906ED634F8628DB0CE9FF78DEF431CCF8a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4EBB26851CBA23EEF802B9526F80B75A05B46B45D3738608E3AAF2a0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776D-590D-44D1-9424-F787A6DF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2019-12-23T12:26:00Z</cp:lastPrinted>
  <dcterms:created xsi:type="dcterms:W3CDTF">2019-12-26T08:38:00Z</dcterms:created>
  <dcterms:modified xsi:type="dcterms:W3CDTF">2019-12-26T08:38:00Z</dcterms:modified>
</cp:coreProperties>
</file>