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8D" w:rsidRDefault="006C63F9" w:rsidP="006C63F9">
      <w:r>
        <w:t xml:space="preserve">Подведены итоги </w:t>
      </w:r>
      <w:proofErr w:type="gramStart"/>
      <w:r>
        <w:t>мониторинга качества финансового менеджмента главных распорядителей бюджетных средств городского округа</w:t>
      </w:r>
      <w:proofErr w:type="gramEnd"/>
      <w:r w:rsidR="00720357">
        <w:t>.</w:t>
      </w:r>
    </w:p>
    <w:p w:rsidR="00720357" w:rsidRDefault="00720357" w:rsidP="006C63F9">
      <w:r>
        <w:t>Сводный рейтинг главных распорядителей бюджетных средств по качеству финансового менеджмента представлен в диаграмме.</w:t>
      </w:r>
      <w:bookmarkStart w:id="0" w:name="_GoBack"/>
      <w:bookmarkEnd w:id="0"/>
      <w:r>
        <w:t xml:space="preserve"> </w:t>
      </w:r>
    </w:p>
    <w:p w:rsidR="00F64EBD" w:rsidRDefault="00F64EBD" w:rsidP="006C63F9"/>
    <w:p w:rsidR="006C63F9" w:rsidRDefault="006C63F9" w:rsidP="006C63F9">
      <w:r>
        <w:rPr>
          <w:noProof/>
          <w:lang w:eastAsia="ru-RU"/>
        </w:rPr>
        <w:drawing>
          <wp:inline distT="0" distB="0" distL="0" distR="0">
            <wp:extent cx="5852160" cy="4341413"/>
            <wp:effectExtent l="0" t="0" r="15240" b="2159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21C7E" w:rsidRDefault="00021C7E" w:rsidP="006C63F9"/>
    <w:p w:rsidR="00F64EBD" w:rsidRDefault="00F64EBD" w:rsidP="006C63F9"/>
    <w:p w:rsidR="00F64EBD" w:rsidRDefault="00F64EBD" w:rsidP="006C63F9"/>
    <w:p w:rsidR="00F64EBD" w:rsidRDefault="00F64EBD" w:rsidP="006C63F9"/>
    <w:p w:rsidR="00F64EBD" w:rsidRDefault="00F64EBD" w:rsidP="006C63F9"/>
    <w:p w:rsidR="00F64EBD" w:rsidRDefault="00F64EBD" w:rsidP="006C63F9"/>
    <w:p w:rsidR="00F64EBD" w:rsidRDefault="00F64EBD" w:rsidP="006C63F9"/>
    <w:p w:rsidR="00F64EBD" w:rsidRDefault="00F64EBD" w:rsidP="006C63F9"/>
    <w:p w:rsidR="00F64EBD" w:rsidRDefault="00F64EBD" w:rsidP="006C63F9"/>
    <w:p w:rsidR="00F64EBD" w:rsidRDefault="00F64EBD" w:rsidP="006C63F9"/>
    <w:p w:rsidR="00021C7E" w:rsidRDefault="00021C7E" w:rsidP="00F64EB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EBD">
        <w:rPr>
          <w:rFonts w:ascii="Times New Roman" w:hAnsi="Times New Roman" w:cs="Times New Roman"/>
          <w:sz w:val="28"/>
          <w:szCs w:val="28"/>
        </w:rPr>
        <w:lastRenderedPageBreak/>
        <w:t>Результаты анализа качества финансового менеджмента в разрезе основных направлений оценки, утвержденных постановлением Клинцовской городской администрации от 08.02.2012 года № 259 «Об утверждении Порядка проведения мониторинга качества финансового менеджмента главных распорядителей бюджетных средств городского округа «город Клинцы Брянской области» и Методики оценки качества финансового менеджмента главных распорядителей бюджетных средств городского округа «город Клинцы Брянской области»</w:t>
      </w:r>
      <w:r w:rsidR="00F64E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4EBD" w:rsidRDefault="00F64EBD" w:rsidP="00F64EBD">
      <w:pPr>
        <w:jc w:val="both"/>
      </w:pPr>
    </w:p>
    <w:p w:rsidR="00021C7E" w:rsidRDefault="00021C7E" w:rsidP="00021C7E">
      <w:pPr>
        <w:pStyle w:val="a7"/>
        <w:numPr>
          <w:ilvl w:val="0"/>
          <w:numId w:val="1"/>
        </w:numPr>
      </w:pPr>
      <w:r>
        <w:t>Оценка механизмов планирования</w:t>
      </w:r>
      <w:r w:rsidR="009B7E0E">
        <w:t xml:space="preserve"> расходов бюджета</w:t>
      </w:r>
    </w:p>
    <w:p w:rsidR="009B7E0E" w:rsidRDefault="009B7E0E" w:rsidP="009B7E0E">
      <w:pPr>
        <w:pStyle w:val="a7"/>
      </w:pPr>
    </w:p>
    <w:p w:rsidR="00021C7E" w:rsidRDefault="00021C7E" w:rsidP="006C63F9">
      <w:r>
        <w:t xml:space="preserve"> </w:t>
      </w:r>
      <w:r w:rsidR="009B7E0E"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20963" w:rsidRDefault="00C20963" w:rsidP="00C20963">
      <w:pPr>
        <w:pStyle w:val="a7"/>
        <w:numPr>
          <w:ilvl w:val="0"/>
          <w:numId w:val="1"/>
        </w:numPr>
      </w:pPr>
      <w:r>
        <w:lastRenderedPageBreak/>
        <w:t>Оценка результатов исполнения бюджета в части расходов</w:t>
      </w:r>
      <w:r>
        <w:rPr>
          <w:noProof/>
          <w:lang w:eastAsia="ru-RU"/>
        </w:rPr>
        <w:drawing>
          <wp:inline distT="0" distB="0" distL="0" distR="0" wp14:anchorId="67177E7C" wp14:editId="0B5C4AB2">
            <wp:extent cx="5414838" cy="3919993"/>
            <wp:effectExtent l="0" t="0" r="14605" b="234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75A8" w:rsidRDefault="000B75A8" w:rsidP="00C20963">
      <w:pPr>
        <w:pStyle w:val="a7"/>
      </w:pPr>
    </w:p>
    <w:p w:rsidR="000B75A8" w:rsidRDefault="000B75A8" w:rsidP="000B75A8">
      <w:pPr>
        <w:pStyle w:val="a7"/>
        <w:numPr>
          <w:ilvl w:val="0"/>
          <w:numId w:val="1"/>
        </w:numPr>
      </w:pPr>
      <w:r>
        <w:t>Оценка исполнения бюджета в части доходов</w:t>
      </w:r>
    </w:p>
    <w:p w:rsidR="000B75A8" w:rsidRDefault="000B75A8" w:rsidP="000B75A8">
      <w:pPr>
        <w:pStyle w:val="a7"/>
      </w:pPr>
    </w:p>
    <w:p w:rsidR="000B75A8" w:rsidRDefault="000B75A8" w:rsidP="000B75A8">
      <w:pPr>
        <w:pStyle w:val="a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75A8" w:rsidRDefault="000B75A8" w:rsidP="000B75A8">
      <w:pPr>
        <w:pStyle w:val="a7"/>
      </w:pPr>
    </w:p>
    <w:p w:rsidR="00F64EBD" w:rsidRDefault="00F64EBD" w:rsidP="000B75A8">
      <w:pPr>
        <w:pStyle w:val="a7"/>
      </w:pPr>
    </w:p>
    <w:p w:rsidR="00F64EBD" w:rsidRDefault="00F64EBD" w:rsidP="000B75A8">
      <w:pPr>
        <w:pStyle w:val="a7"/>
      </w:pPr>
    </w:p>
    <w:p w:rsidR="00F64EBD" w:rsidRDefault="00F64EBD" w:rsidP="000B75A8">
      <w:pPr>
        <w:pStyle w:val="a7"/>
      </w:pPr>
    </w:p>
    <w:p w:rsidR="00F64EBD" w:rsidRDefault="00F64EBD" w:rsidP="000B75A8">
      <w:pPr>
        <w:pStyle w:val="a7"/>
      </w:pPr>
    </w:p>
    <w:p w:rsidR="00F64EBD" w:rsidRDefault="00F64EBD" w:rsidP="000B75A8">
      <w:pPr>
        <w:pStyle w:val="a7"/>
      </w:pPr>
    </w:p>
    <w:p w:rsidR="000B75A8" w:rsidRDefault="000B75A8" w:rsidP="000B75A8">
      <w:pPr>
        <w:pStyle w:val="a7"/>
        <w:numPr>
          <w:ilvl w:val="0"/>
          <w:numId w:val="1"/>
        </w:numPr>
      </w:pPr>
      <w:r>
        <w:lastRenderedPageBreak/>
        <w:t>Оценка управления обязательствами в процессе исполнения бюджета</w:t>
      </w:r>
    </w:p>
    <w:p w:rsidR="00DD272B" w:rsidRDefault="00DD272B" w:rsidP="00DD272B">
      <w:pPr>
        <w:pStyle w:val="a7"/>
      </w:pPr>
    </w:p>
    <w:p w:rsidR="000B75A8" w:rsidRDefault="000B75A8" w:rsidP="000B75A8">
      <w:pPr>
        <w:pStyle w:val="a7"/>
      </w:pPr>
      <w:r>
        <w:rPr>
          <w:noProof/>
          <w:lang w:eastAsia="ru-RU"/>
        </w:rPr>
        <w:drawing>
          <wp:inline distT="0" distB="0" distL="0" distR="0" wp14:anchorId="790F578E" wp14:editId="5C9ED4ED">
            <wp:extent cx="5534108" cy="3617844"/>
            <wp:effectExtent l="0" t="0" r="9525" b="209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D272B" w:rsidRDefault="00DD272B" w:rsidP="000B75A8">
      <w:pPr>
        <w:pStyle w:val="a7"/>
      </w:pPr>
    </w:p>
    <w:p w:rsidR="00BD61C7" w:rsidRDefault="00BD61C7" w:rsidP="000B75A8">
      <w:pPr>
        <w:pStyle w:val="a7"/>
      </w:pPr>
    </w:p>
    <w:p w:rsidR="00F64EBD" w:rsidRDefault="00F64EBD" w:rsidP="000B75A8">
      <w:pPr>
        <w:pStyle w:val="a7"/>
      </w:pPr>
    </w:p>
    <w:p w:rsidR="00DD272B" w:rsidRDefault="00DD272B" w:rsidP="00DD272B">
      <w:pPr>
        <w:pStyle w:val="a7"/>
        <w:numPr>
          <w:ilvl w:val="0"/>
          <w:numId w:val="1"/>
        </w:numPr>
      </w:pPr>
      <w:r>
        <w:t>Оценка состояния учета и отчетности</w:t>
      </w:r>
    </w:p>
    <w:p w:rsidR="00BD61C7" w:rsidRDefault="00BD61C7" w:rsidP="00BD61C7">
      <w:pPr>
        <w:pStyle w:val="a7"/>
      </w:pPr>
    </w:p>
    <w:p w:rsidR="00F64EBD" w:rsidRDefault="00F64EBD" w:rsidP="00BD61C7">
      <w:pPr>
        <w:pStyle w:val="a7"/>
      </w:pPr>
    </w:p>
    <w:p w:rsidR="00DD272B" w:rsidRDefault="00BD61C7" w:rsidP="00DD272B">
      <w:pPr>
        <w:pStyle w:val="a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D61C7" w:rsidRDefault="00BD61C7" w:rsidP="00DD272B">
      <w:pPr>
        <w:pStyle w:val="a7"/>
      </w:pPr>
    </w:p>
    <w:p w:rsidR="00F64EBD" w:rsidRDefault="00F64EBD" w:rsidP="00DD272B">
      <w:pPr>
        <w:pStyle w:val="a7"/>
      </w:pPr>
    </w:p>
    <w:p w:rsidR="00F64EBD" w:rsidRDefault="00F64EBD" w:rsidP="00DD272B">
      <w:pPr>
        <w:pStyle w:val="a7"/>
      </w:pPr>
    </w:p>
    <w:p w:rsidR="00F64EBD" w:rsidRDefault="00F64EBD" w:rsidP="00DD272B">
      <w:pPr>
        <w:pStyle w:val="a7"/>
      </w:pPr>
    </w:p>
    <w:p w:rsidR="00BD61C7" w:rsidRDefault="00BD61C7" w:rsidP="00BD61C7">
      <w:pPr>
        <w:pStyle w:val="a7"/>
        <w:numPr>
          <w:ilvl w:val="0"/>
          <w:numId w:val="1"/>
        </w:numPr>
      </w:pPr>
      <w:r>
        <w:lastRenderedPageBreak/>
        <w:t>Оценка организации контроля</w:t>
      </w:r>
    </w:p>
    <w:p w:rsidR="00BD61C7" w:rsidRDefault="00BD61C7" w:rsidP="00BD61C7">
      <w:pPr>
        <w:pStyle w:val="a7"/>
      </w:pPr>
    </w:p>
    <w:p w:rsidR="00BD61C7" w:rsidRPr="006C63F9" w:rsidRDefault="00BD61C7" w:rsidP="00BD61C7">
      <w:pPr>
        <w:pStyle w:val="a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BD61C7" w:rsidRPr="006C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14F2F"/>
    <w:multiLevelType w:val="hybridMultilevel"/>
    <w:tmpl w:val="57B89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093"/>
    <w:rsid w:val="00010677"/>
    <w:rsid w:val="00011959"/>
    <w:rsid w:val="00017EF6"/>
    <w:rsid w:val="00021C7E"/>
    <w:rsid w:val="00022486"/>
    <w:rsid w:val="000409BB"/>
    <w:rsid w:val="00047E04"/>
    <w:rsid w:val="00052727"/>
    <w:rsid w:val="00056935"/>
    <w:rsid w:val="00060780"/>
    <w:rsid w:val="00070DF4"/>
    <w:rsid w:val="000719F4"/>
    <w:rsid w:val="00074FEF"/>
    <w:rsid w:val="00082141"/>
    <w:rsid w:val="00093E12"/>
    <w:rsid w:val="000A3604"/>
    <w:rsid w:val="000A5248"/>
    <w:rsid w:val="000A6625"/>
    <w:rsid w:val="000A7B06"/>
    <w:rsid w:val="000B75A8"/>
    <w:rsid w:val="000C0FD2"/>
    <w:rsid w:val="000C2ED4"/>
    <w:rsid w:val="000C68CF"/>
    <w:rsid w:val="000D5C6E"/>
    <w:rsid w:val="000D777F"/>
    <w:rsid w:val="000E6DC0"/>
    <w:rsid w:val="000F0FF9"/>
    <w:rsid w:val="000F5638"/>
    <w:rsid w:val="0010178E"/>
    <w:rsid w:val="00111750"/>
    <w:rsid w:val="0012433D"/>
    <w:rsid w:val="001338C4"/>
    <w:rsid w:val="001352EF"/>
    <w:rsid w:val="001557FA"/>
    <w:rsid w:val="0018100E"/>
    <w:rsid w:val="00183922"/>
    <w:rsid w:val="00183CF5"/>
    <w:rsid w:val="00183F95"/>
    <w:rsid w:val="001B4A63"/>
    <w:rsid w:val="001B7054"/>
    <w:rsid w:val="001D3C3D"/>
    <w:rsid w:val="001D41CE"/>
    <w:rsid w:val="001D6CA4"/>
    <w:rsid w:val="001D6FA6"/>
    <w:rsid w:val="001F33B2"/>
    <w:rsid w:val="001F5CD9"/>
    <w:rsid w:val="0020636E"/>
    <w:rsid w:val="00206D4A"/>
    <w:rsid w:val="00221487"/>
    <w:rsid w:val="00234B4D"/>
    <w:rsid w:val="00235697"/>
    <w:rsid w:val="0025746B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306532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914E5"/>
    <w:rsid w:val="003B2166"/>
    <w:rsid w:val="003B39DC"/>
    <w:rsid w:val="003D6119"/>
    <w:rsid w:val="003E18C0"/>
    <w:rsid w:val="003F2CFA"/>
    <w:rsid w:val="00400558"/>
    <w:rsid w:val="004045D4"/>
    <w:rsid w:val="00425B6E"/>
    <w:rsid w:val="004369B4"/>
    <w:rsid w:val="00437776"/>
    <w:rsid w:val="004514F9"/>
    <w:rsid w:val="004518B8"/>
    <w:rsid w:val="00451D68"/>
    <w:rsid w:val="0045517A"/>
    <w:rsid w:val="00460BAC"/>
    <w:rsid w:val="00460FB9"/>
    <w:rsid w:val="00462DAB"/>
    <w:rsid w:val="0047021F"/>
    <w:rsid w:val="0048394E"/>
    <w:rsid w:val="0048525C"/>
    <w:rsid w:val="00491E30"/>
    <w:rsid w:val="00493E23"/>
    <w:rsid w:val="004A1B99"/>
    <w:rsid w:val="004A42EC"/>
    <w:rsid w:val="004A5AEC"/>
    <w:rsid w:val="004B761A"/>
    <w:rsid w:val="004D56F9"/>
    <w:rsid w:val="004E0A7A"/>
    <w:rsid w:val="004E1093"/>
    <w:rsid w:val="004E2084"/>
    <w:rsid w:val="004F4E65"/>
    <w:rsid w:val="005143CF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D2565"/>
    <w:rsid w:val="005D75B4"/>
    <w:rsid w:val="005F1CEF"/>
    <w:rsid w:val="005F5A99"/>
    <w:rsid w:val="00601132"/>
    <w:rsid w:val="00603B3A"/>
    <w:rsid w:val="006139A8"/>
    <w:rsid w:val="00615389"/>
    <w:rsid w:val="00617582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C63F9"/>
    <w:rsid w:val="006D539F"/>
    <w:rsid w:val="007051B2"/>
    <w:rsid w:val="0071008B"/>
    <w:rsid w:val="00720357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81438D"/>
    <w:rsid w:val="0082620C"/>
    <w:rsid w:val="0084598D"/>
    <w:rsid w:val="00850717"/>
    <w:rsid w:val="00850C5F"/>
    <w:rsid w:val="00851BD4"/>
    <w:rsid w:val="00853B48"/>
    <w:rsid w:val="00862CAC"/>
    <w:rsid w:val="00863387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31CF3"/>
    <w:rsid w:val="00936D89"/>
    <w:rsid w:val="0094488D"/>
    <w:rsid w:val="0094794D"/>
    <w:rsid w:val="00947A9A"/>
    <w:rsid w:val="00956F5D"/>
    <w:rsid w:val="00980A47"/>
    <w:rsid w:val="009864D2"/>
    <w:rsid w:val="00986C84"/>
    <w:rsid w:val="00986F8B"/>
    <w:rsid w:val="00990333"/>
    <w:rsid w:val="009B5EEC"/>
    <w:rsid w:val="009B66E9"/>
    <w:rsid w:val="009B740C"/>
    <w:rsid w:val="009B7E0E"/>
    <w:rsid w:val="009C0179"/>
    <w:rsid w:val="009C429B"/>
    <w:rsid w:val="009D1AC6"/>
    <w:rsid w:val="009D3D3A"/>
    <w:rsid w:val="009D5326"/>
    <w:rsid w:val="00A014F2"/>
    <w:rsid w:val="00A069FA"/>
    <w:rsid w:val="00A1185C"/>
    <w:rsid w:val="00A220B3"/>
    <w:rsid w:val="00A26E28"/>
    <w:rsid w:val="00A2750B"/>
    <w:rsid w:val="00A31587"/>
    <w:rsid w:val="00A34103"/>
    <w:rsid w:val="00A37A42"/>
    <w:rsid w:val="00A40CF4"/>
    <w:rsid w:val="00A47BAD"/>
    <w:rsid w:val="00A63C5F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5DE4"/>
    <w:rsid w:val="00B164E7"/>
    <w:rsid w:val="00B3559D"/>
    <w:rsid w:val="00B414A9"/>
    <w:rsid w:val="00B418B2"/>
    <w:rsid w:val="00B46A58"/>
    <w:rsid w:val="00B56EB8"/>
    <w:rsid w:val="00B81952"/>
    <w:rsid w:val="00B84F1B"/>
    <w:rsid w:val="00B8784B"/>
    <w:rsid w:val="00BA0C7C"/>
    <w:rsid w:val="00BA73D8"/>
    <w:rsid w:val="00BC3C0A"/>
    <w:rsid w:val="00BD61C7"/>
    <w:rsid w:val="00BE349F"/>
    <w:rsid w:val="00BF37A0"/>
    <w:rsid w:val="00BF430D"/>
    <w:rsid w:val="00C1150D"/>
    <w:rsid w:val="00C20963"/>
    <w:rsid w:val="00C210C6"/>
    <w:rsid w:val="00C224E0"/>
    <w:rsid w:val="00C26FE6"/>
    <w:rsid w:val="00C62DA4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6A"/>
    <w:rsid w:val="00DA76B4"/>
    <w:rsid w:val="00DB0BC3"/>
    <w:rsid w:val="00DB1F39"/>
    <w:rsid w:val="00DC79EE"/>
    <w:rsid w:val="00DD1CD2"/>
    <w:rsid w:val="00DD272B"/>
    <w:rsid w:val="00DE6D83"/>
    <w:rsid w:val="00DF31DE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B1747"/>
    <w:rsid w:val="00EB35F3"/>
    <w:rsid w:val="00EC0411"/>
    <w:rsid w:val="00ED393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4EBD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1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D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3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1C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1D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1D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1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1D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6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63F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1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2.3871527777777776E-2"/>
          <c:y val="0.20755380270269025"/>
          <c:w val="0.93055555555555558"/>
          <c:h val="0.7604645162479324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Рейтинговая оценка по результатам мониторинга 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Клинцовская городская администрация</c:v>
                </c:pt>
                <c:pt idx="1">
                  <c:v>Отдел образования Клинцовской городской администрации</c:v>
                </c:pt>
                <c:pt idx="2">
                  <c:v>Комитет по управлению имуществом города Клинцы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3.1</c:v>
                </c:pt>
                <c:pt idx="1">
                  <c:v>3.4</c:v>
                </c:pt>
                <c:pt idx="2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5800704"/>
        <c:axId val="136085504"/>
      </c:barChart>
      <c:catAx>
        <c:axId val="135800704"/>
        <c:scaling>
          <c:orientation val="minMax"/>
        </c:scaling>
        <c:delete val="0"/>
        <c:axPos val="b"/>
        <c:majorTickMark val="out"/>
        <c:minorTickMark val="none"/>
        <c:tickLblPos val="nextTo"/>
        <c:crossAx val="136085504"/>
        <c:crosses val="autoZero"/>
        <c:auto val="1"/>
        <c:lblAlgn val="ctr"/>
        <c:lblOffset val="100"/>
        <c:noMultiLvlLbl val="0"/>
      </c:catAx>
      <c:valAx>
        <c:axId val="136085504"/>
        <c:scaling>
          <c:orientation val="minMax"/>
        </c:scaling>
        <c:delete val="0"/>
        <c:axPos val="l"/>
        <c:majorGridlines/>
        <c:numFmt formatCode="0.0" sourceLinked="0"/>
        <c:majorTickMark val="out"/>
        <c:minorTickMark val="none"/>
        <c:tickLblPos val="nextTo"/>
        <c:crossAx val="135800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Клинцовская городская администрация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Своевременность предоставления реестра расходных обязательств</c:v>
                </c:pt>
                <c:pt idx="1">
                  <c:v>Доля бюджетных асигнований, запланированных на реализацию городских целевых программ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Отдел образования Клинцовской городской администрации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Своевременность предоставления реестра расходных обязательств</c:v>
                </c:pt>
                <c:pt idx="1">
                  <c:v>Доля бюджетных асигнований, запланированных на реализацию городских целевых программ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Комитет по управлению имуществом города Клинцы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Своевременность предоставления реестра расходных обязательств</c:v>
                </c:pt>
                <c:pt idx="1">
                  <c:v>Доля бюджетных асигнований, запланированных на реализацию городских целевых программ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637568"/>
        <c:axId val="146639104"/>
      </c:barChart>
      <c:catAx>
        <c:axId val="1466375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6639104"/>
        <c:crosses val="autoZero"/>
        <c:auto val="1"/>
        <c:lblAlgn val="ctr"/>
        <c:lblOffset val="100"/>
        <c:noMultiLvlLbl val="0"/>
      </c:catAx>
      <c:valAx>
        <c:axId val="146639104"/>
        <c:scaling>
          <c:orientation val="minMax"/>
          <c:max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637568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Клинцовская городская администрация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Уровень исполнения расходов</c:v>
                </c:pt>
                <c:pt idx="1">
                  <c:v>Доля объема расходов бюджета в 4 квартале от среднего объема расходов за 1-3 кварталы</c:v>
                </c:pt>
                <c:pt idx="2">
                  <c:v>Количество уведомлений о внесении изменений в бюджетную роспись</c:v>
                </c:pt>
                <c:pt idx="3">
                  <c:v>Своевременное составление росписи ГРБС к проекту бюджета</c:v>
                </c:pt>
                <c:pt idx="4">
                  <c:v>Объем неисполненных бюджетных ассигнований на конец отчетного года</c:v>
                </c:pt>
                <c:pt idx="5">
                  <c:v>Оценка качества планирования бюджетных ассигнований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5</c:v>
                </c:pt>
                <c:pt idx="4">
                  <c:v>2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Отдел образования Клинцовской городской администрации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Уровень исполнения расходов</c:v>
                </c:pt>
                <c:pt idx="1">
                  <c:v>Доля объема расходов бюджета в 4 квартале от среднего объема расходов за 1-3 кварталы</c:v>
                </c:pt>
                <c:pt idx="2">
                  <c:v>Количество уведомлений о внесении изменений в бюджетную роспись</c:v>
                </c:pt>
                <c:pt idx="3">
                  <c:v>Своевременное составление росписи ГРБС к проекту бюджета</c:v>
                </c:pt>
                <c:pt idx="4">
                  <c:v>Объем неисполненных бюджетных ассигнований на конец отчетного года</c:v>
                </c:pt>
                <c:pt idx="5">
                  <c:v>Оценка качества планирования бюджетных ассигнований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5</c:v>
                </c:pt>
                <c:pt idx="5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Комитет по управлению имуществом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Уровень исполнения расходов</c:v>
                </c:pt>
                <c:pt idx="1">
                  <c:v>Доля объема расходов бюджета в 4 квартале от среднего объема расходов за 1-3 кварталы</c:v>
                </c:pt>
                <c:pt idx="2">
                  <c:v>Количество уведомлений о внесении изменений в бюджетную роспись</c:v>
                </c:pt>
                <c:pt idx="3">
                  <c:v>Своевременное составление росписи ГРБС к проекту бюджета</c:v>
                </c:pt>
                <c:pt idx="4">
                  <c:v>Объем неисполненных бюджетных ассигнований на конец отчетного года</c:v>
                </c:pt>
                <c:pt idx="5">
                  <c:v>Оценка качества планирования бюджетных ассигнований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4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5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890112"/>
        <c:axId val="146891904"/>
      </c:barChart>
      <c:catAx>
        <c:axId val="146890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600" b="0" i="0" kern="1200" cap="none" baseline="0"/>
            </a:pPr>
            <a:endParaRPr lang="ru-RU"/>
          </a:p>
        </c:txPr>
        <c:crossAx val="146891904"/>
        <c:crosses val="autoZero"/>
        <c:auto val="1"/>
        <c:lblAlgn val="ctr"/>
        <c:lblOffset val="100"/>
        <c:noMultiLvlLbl val="0"/>
      </c:catAx>
      <c:valAx>
        <c:axId val="146891904"/>
        <c:scaling>
          <c:orientation val="minMax"/>
          <c:max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890112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Клинцовская городская администрация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Отклонение кассового исполнения по доходам от прогноза по главному администратору доходов бюджета</c:v>
                </c:pt>
                <c:pt idx="1">
                  <c:v>Эффективность управления дебиторской задолженностью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Отдел образования Клинцовской городской администрации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Отклонение кассового исполнения по доходам от прогноза по главному администратору доходов бюджета</c:v>
                </c:pt>
                <c:pt idx="1">
                  <c:v>Эффективность управления дебиторской задолженностью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Комитет по управлению имуществом города Клинцы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Отклонение кассового исполнения по доходам от прогноза по главному администратору доходов бюджета</c:v>
                </c:pt>
                <c:pt idx="1">
                  <c:v>Эффективность управления дебиторской задолженностью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585280"/>
        <c:axId val="147607552"/>
      </c:barChart>
      <c:catAx>
        <c:axId val="147585280"/>
        <c:scaling>
          <c:orientation val="minMax"/>
        </c:scaling>
        <c:delete val="0"/>
        <c:axPos val="b"/>
        <c:majorTickMark val="out"/>
        <c:minorTickMark val="none"/>
        <c:tickLblPos val="nextTo"/>
        <c:crossAx val="147607552"/>
        <c:crosses val="autoZero"/>
        <c:auto val="1"/>
        <c:lblAlgn val="ctr"/>
        <c:lblOffset val="100"/>
        <c:noMultiLvlLbl val="0"/>
      </c:catAx>
      <c:valAx>
        <c:axId val="147607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585280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254228638086906E-2"/>
          <c:y val="4.4002950964555969E-2"/>
          <c:w val="0.92628280839895016"/>
          <c:h val="0.404755968003999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Клинцовская городская администрация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Изменение дебиторской задолженности в отчетном периоде по сравнению с началом года</c:v>
                </c:pt>
                <c:pt idx="1">
                  <c:v>Наличие просроченной кредиторской задолженности</c:v>
                </c:pt>
                <c:pt idx="2">
                  <c:v>Соблюдение порядка санкционирования оплаты денежных обязательств</c:v>
                </c:pt>
                <c:pt idx="3">
                  <c:v>Ежемесячное изменение кредиторской задолженности в течение отчетного периода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Отдел образования Клинцовской городской администрации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Изменение дебиторской задолженности в отчетном периоде по сравнению с началом года</c:v>
                </c:pt>
                <c:pt idx="1">
                  <c:v>Наличие просроченной кредиторской задолженности</c:v>
                </c:pt>
                <c:pt idx="2">
                  <c:v>Соблюдение порядка санкционирования оплаты денежных обязательств</c:v>
                </c:pt>
                <c:pt idx="3">
                  <c:v>Ежемесячное изменение кредиторской задолженности в течение отчетного периода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Комитет по управлению имуществом города Клинцы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Изменение дебиторской задолженности в отчетном периоде по сравнению с началом года</c:v>
                </c:pt>
                <c:pt idx="1">
                  <c:v>Наличие просроченной кредиторской задолженности</c:v>
                </c:pt>
                <c:pt idx="2">
                  <c:v>Соблюдение порядка санкционирования оплаты денежных обязательств</c:v>
                </c:pt>
                <c:pt idx="3">
                  <c:v>Ежемесячное изменение кредиторской задолженности в течение отчетного периода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645568"/>
        <c:axId val="147647104"/>
      </c:barChart>
      <c:catAx>
        <c:axId val="147645568"/>
        <c:scaling>
          <c:orientation val="minMax"/>
        </c:scaling>
        <c:delete val="0"/>
        <c:axPos val="b"/>
        <c:majorTickMark val="out"/>
        <c:minorTickMark val="none"/>
        <c:tickLblPos val="nextTo"/>
        <c:crossAx val="147647104"/>
        <c:crosses val="autoZero"/>
        <c:auto val="1"/>
        <c:lblAlgn val="ctr"/>
        <c:lblOffset val="100"/>
        <c:noMultiLvlLbl val="0"/>
      </c:catAx>
      <c:valAx>
        <c:axId val="147647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645568"/>
        <c:crosses val="autoZero"/>
        <c:crossBetween val="between"/>
        <c:majorUnit val="1"/>
      </c:valAx>
    </c:plotArea>
    <c:legend>
      <c:legendPos val="b"/>
      <c:overlay val="1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Клинцовская городская администрация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Представление в составе годовой бюджетной отчетности сведений о мерах по повышению эффективности расходования бюджетных средств</c:v>
                </c:pt>
                <c:pt idx="1">
                  <c:v>Соблюдение сроков предоставления годовой бюджетной отчетности</c:v>
                </c:pt>
                <c:pt idx="2">
                  <c:v>Соответствие предоставленной отчетности установленным требованиям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Отдел образования Клинцовской городской администрации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Представление в составе годовой бюджетной отчетности сведений о мерах по повышению эффективности расходования бюджетных средств</c:v>
                </c:pt>
                <c:pt idx="1">
                  <c:v>Соблюдение сроков предоставления годовой бюджетной отчетности</c:v>
                </c:pt>
                <c:pt idx="2">
                  <c:v>Соответствие предоставленной отчетности установленным требованиям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Комитет по управлению имуществом города Клинцы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Представление в составе годовой бюджетной отчетности сведений о мерах по повышению эффективности расходования бюджетных средств</c:v>
                </c:pt>
                <c:pt idx="1">
                  <c:v>Соблюдение сроков предоставления годовой бюджетной отчетности</c:v>
                </c:pt>
                <c:pt idx="2">
                  <c:v>Соответствие предоставленной отчетности установленным требованиям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0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7808640"/>
        <c:axId val="147810176"/>
        <c:axId val="0"/>
      </c:bar3DChart>
      <c:catAx>
        <c:axId val="1478086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700" baseline="0"/>
            </a:pPr>
            <a:endParaRPr lang="ru-RU"/>
          </a:p>
        </c:txPr>
        <c:crossAx val="147810176"/>
        <c:crosses val="autoZero"/>
        <c:auto val="1"/>
        <c:lblAlgn val="ctr"/>
        <c:lblOffset val="100"/>
        <c:noMultiLvlLbl val="0"/>
      </c:catAx>
      <c:valAx>
        <c:axId val="1478101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808640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Клинцовская городская администрация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Наличие недостач и хищений денежных средств и материальных ценностей</c:v>
                </c:pt>
                <c:pt idx="1">
                  <c:v>Осуществление мероприятий внутреннего контроля</c:v>
                </c:pt>
                <c:pt idx="2">
                  <c:v>Проведение инвентаризаций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Отдел образования Клинцовской городской администрации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Наличие недостач и хищений денежных средств и материальных ценностей</c:v>
                </c:pt>
                <c:pt idx="1">
                  <c:v>Осуществление мероприятий внутреннего контроля</c:v>
                </c:pt>
                <c:pt idx="2">
                  <c:v>Проведение инвентаризаций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Комитет по управлению имуществом города Клинцы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Наличие недостач и хищений денежных средств и материальных ценностей</c:v>
                </c:pt>
                <c:pt idx="1">
                  <c:v>Осуществление мероприятий внутреннего контроля</c:v>
                </c:pt>
                <c:pt idx="2">
                  <c:v>Проведение инвентаризаций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0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7840384"/>
        <c:axId val="147846272"/>
        <c:axId val="0"/>
      </c:bar3DChart>
      <c:catAx>
        <c:axId val="147840384"/>
        <c:scaling>
          <c:orientation val="minMax"/>
        </c:scaling>
        <c:delete val="0"/>
        <c:axPos val="b"/>
        <c:majorTickMark val="out"/>
        <c:minorTickMark val="none"/>
        <c:tickLblPos val="nextTo"/>
        <c:crossAx val="147846272"/>
        <c:crosses val="autoZero"/>
        <c:auto val="1"/>
        <c:lblAlgn val="ctr"/>
        <c:lblOffset val="100"/>
        <c:noMultiLvlLbl val="0"/>
      </c:catAx>
      <c:valAx>
        <c:axId val="147846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840384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830E2-062C-4C02-8F44-6CC5DF38D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2013-04-11T09:02:00Z</dcterms:created>
  <dcterms:modified xsi:type="dcterms:W3CDTF">2013-04-11T09:02:00Z</dcterms:modified>
</cp:coreProperties>
</file>