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  <w:t xml:space="preserve">   Утверждена</w:t>
      </w: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  <w:t xml:space="preserve"> Постановлением Клинцовской  </w:t>
      </w: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  <w:t xml:space="preserve">городской администрации </w:t>
      </w: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  <w:t>от «13» 12.2017 г. N 2752</w:t>
      </w: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  <w:t xml:space="preserve">  ВЕДОМСТВЕННАЯ  ЦЕЛЕВАЯ  ПРОГРАММА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 w:val="0"/>
          <w:sz w:val="28"/>
          <w:szCs w:val="28"/>
          <w:lang w:eastAsia="ru-RU"/>
        </w:rPr>
        <w:t xml:space="preserve">«РАЗВИТИЕ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 w:val="0"/>
          <w:sz w:val="28"/>
          <w:szCs w:val="28"/>
          <w:lang w:eastAsia="ru-RU"/>
        </w:rPr>
        <w:t>МАЛОГО И СРЕДНЕГО ПРЕДПРИНИМАТЕЛЬСТВА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 w:val="0"/>
          <w:sz w:val="28"/>
          <w:szCs w:val="28"/>
          <w:lang w:eastAsia="ru-RU"/>
        </w:rPr>
        <w:t>НА ТЕРРИТОРИИ ГОРОДСКОГО ОКРУГА «ГОРОД КЛИНЦЫ БРЯНСКОЙ ОБЛАСТИ» (2018 - 2020 гг.)</w:t>
      </w: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</w:p>
    <w:p>
      <w:pPr>
        <w:spacing w:after="0" w:line="240" w:lineRule="auto"/>
        <w:ind w:left="284"/>
        <w:jc w:val="center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  <w:t>ПАСПОРТ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  <w:t>ведомственной целевой программы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«Развитие малого и  среднего предпринимательства на территории городского округа «город Клинцы Брянской области» (2018-2020 годы)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</w:p>
    <w:tbl>
      <w:tblPr>
        <w:tblStyle w:val="20"/>
        <w:tblW w:w="9923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80"/>
        <w:gridCol w:w="6143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Ответственный исполнитель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ведомственной целевой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программы                  </w:t>
            </w:r>
          </w:p>
        </w:tc>
        <w:tc>
          <w:tcPr>
            <w:tcW w:w="6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Главный распорядитель средств бюджета городского округа</w:t>
            </w:r>
          </w:p>
        </w:tc>
        <w:tc>
          <w:tcPr>
            <w:tcW w:w="6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Клинцовская городская администрация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Наименование муниципальной программы городского округа</w:t>
            </w:r>
          </w:p>
        </w:tc>
        <w:tc>
          <w:tcPr>
            <w:tcW w:w="6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«Реализация полномочий исполнительного органа местного самоуправления городского округа «город Клинцы Брянской области» (2015-2020 годы)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Наименование подпрограммы муниципальной программы городского округа</w:t>
            </w:r>
          </w:p>
        </w:tc>
        <w:tc>
          <w:tcPr>
            <w:tcW w:w="6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«Выполнение функций Клинцовской городской администрации» (2015-2020 годы)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Цели и задачи ведомственной целевой программы                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6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Цель программы: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Создание благоприятных условий для обеспечения устойчивого развития предпринимательства в городском округе, повышение социально-экономической эффективности его деятельности</w:t>
            </w:r>
          </w:p>
          <w:p>
            <w:pPr>
              <w:tabs>
                <w:tab w:val="left" w:pos="-14"/>
              </w:tabs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Задачи программы: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создание благоприятных условий для устойчивой деятельности и  преодоления административных барьеров на пути развития малого предпринимательства;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повышение эффективности деятельности органов местного самоуправления в вопросах поддержки малого предпринимательства, ориентация органов власти на более тесное сотрудничество с негосударственными структурами поддержки малого бизнеса и общественными организациями предпринимателей;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развитие информационного обеспечения как одного из приоритетных направлений поддержки малого бизнеса;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создание условий для экономического роста и новых рабочих мест, адресной методической, информационной, консультационной поддержки малого предпринимательства;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обеспечение  инвестиционной и имущественной поддержки субъектов малого предпринимательства.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18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614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мест.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Сроки реализации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ведомственной целевой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программы                  </w:t>
            </w:r>
          </w:p>
        </w:tc>
        <w:tc>
          <w:tcPr>
            <w:tcW w:w="6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               2018-2020 годы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080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Объемы и источники финансирования               </w:t>
            </w:r>
          </w:p>
        </w:tc>
        <w:tc>
          <w:tcPr>
            <w:tcW w:w="6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общий объем средств, предусмотренных на     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реализацию подпрограммы, - </w:t>
            </w: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50 000,0 рублей,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в том числе:               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– 0 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средства областного бюджета – 0 руб.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средства бюджета городского округа –50 000,0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2018  – 50 000,0 руб.,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-средства областного бюджета – 0 руб.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средства бюджета городского округа – 50 000,0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2019 –  0руб.,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средства бюджета городского округа -  0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2020 –  0 руб.,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средства бюджета городского округа -  0 руб.;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560" w:hRule="atLeast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Ожидаемые конечные результаты 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реализации ведомственной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целевой программы и показатели ее социально-экономической эффективности        </w:t>
            </w:r>
          </w:p>
        </w:tc>
        <w:tc>
          <w:tcPr>
            <w:tcW w:w="6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>
            <w:pPr>
              <w:tabs>
                <w:tab w:val="left" w:pos="-14"/>
                <w:tab w:val="center" w:pos="3343"/>
              </w:tabs>
              <w:snapToGrid w:val="0"/>
              <w:spacing w:after="0" w:line="240" w:lineRule="auto"/>
              <w:ind w:left="-14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sectPr>
          <w:footerReference r:id="rId3" w:type="default"/>
          <w:pgSz w:w="11905" w:h="16838"/>
          <w:pgMar w:top="851" w:right="565" w:bottom="567" w:left="1418" w:header="720" w:footer="720" w:gutter="0"/>
          <w:pgNumType w:start="2"/>
          <w:cols w:space="720" w:num="1"/>
        </w:sectPr>
      </w:pP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  <w:t>Обоснование необходимости реализации ведомственной целевой программы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Развитие малых и средних предприятий имеет целью обеспечить решение экономических и социальных задач, в том числе способствует формированию конкурентной среды, насыщению рынков товарами и услугами, обеспечению занятости, увеличению налоговых поступлений в бюджеты всех уровней, в том числе и в местный. 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color w:val="000000"/>
          <w:sz w:val="24"/>
          <w:szCs w:val="24"/>
          <w:lang w:eastAsia="ru-RU"/>
        </w:rPr>
        <w:t>Малое и среднее предпринимательство – специфический сектор экономики, создающий материальные блага при минимальном привлечении материальных, энергетических, природных ресурсов и максимальном использовании человеческого капитала. Развитие этого сектора является гарантом экономической и социальной стабильности муниципального образования, экономика легче приспосабливается к изменениям рынка, эффективнее внедряются инновации, меняется структура общества, растет средний класс.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Вместе с тем, сектору малого предпринимательства свойственны относительно низкая доходность, высокая интенсивность труда, сложности с внедрением новых технологий, ограниченность собственных ресурсов и повышенный риск в конкурентной борьбе.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Малый и средний бизнес присутствует во многих отраслях экономики городского округа «город Клинцы Брянской области», в деятельность малых и средних предприятий вовлечены все социальные группы населения.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Предприятия малого и среднего бизнеса доминируют в таких секторах экономики, как торговля, общественное питание, сфера предоставления услуг. В промышленности, строительстве, сельском хозяйстве, на транспорте доля малых предприятий еще незначительна, мало число инновационных предприятий.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Повышаются темпы развития обрабатывающего производства. Индивидуальные предприниматели и предприятия малого бизнеса выпускают высококачественную мебель, тротуарную плитку, велосипеды, мягкую игрушку, обувь, трикотажные изделия, оказывают полиграфические услуги, производят продукты питания: хлебобулочные изделия, копчение и соление  рыботоваров, выпускают безалкогольные напитки. 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В городском округе по состоянию на 01.01.2017 г. действовало 322 предприятия малого и среднего бизнеса. Средняя численность работников малых и средних предприятий составила 3940 человек. Ежегодно увеличивается число субъектов малого и среднего предпринимательства.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Обеспечение условий для развития предпринимательской деятельности является одним из приоритетных направлений стратегии социально-экономического развития городского округа «город Клинцы Брянской области».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Поскольку основным сдерживающим фактором развития малого бизнеса в городском округе «город Клинцы Брянской области» является необеспеченность субъектов малого и среднего бизнеса финансовыми ресурсами для становления и развития собственного дела, то для достижения наибольших результатов при выполнении комплекса мероприятий по поддержке и развитию малого бизнеса города Клинцовской городской администрацией в 2014 году была разработана и утверждена ведомственная целевая программа «Развитие малого и среднего предпринимательства в городе Клинцы» (2015-2017гг).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В соответствии с программой в 2015 году реализовано мероприятие «Предоставление на конкурсной основе грантов начинающим субъектам малого предпринимательства» в размере 500 000,0 руб., в том числе 425 000,0 руб. из средств областного бюджета и 5% софинансирования расходов в размере 25 000,0 руб. за счет средств бюджета городского округа. Поддержку в виде гранта получил 1 индивидуальный предприниматель.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Финансовое обеспечение программы в 2016 году по мероприятию «Предоставление на конкурсной основе грантов начинающим субъектам малого предпринимательства» в размере 1 500 000,0 руб., осуществлено за счет средств областного бюджета в сумме 1 425 000,0 руб. и средств городского бюджета в размере 75 000,0 руб.</w:t>
      </w:r>
      <w:r>
        <w:t xml:space="preserve"> </w:t>
      </w: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В рамках реализации программы в 2016 году грантовую поддержку по 500 000 руб. получили 3 индивидуальных предпринимателя.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В 2017 году реализовано мероприятие  программы «Предоставление на конкурсной основе субсидии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услуг)» на сумму 20 254 642,23 руб., в том числе 19 241 910,12 руб. из средств областного бюджета и 5% софинансирования расходов в сумме 1 012 732,11 руб. за счет средств бюджета городского округа. Поддержку в виде субсидии получили 2 предприятия.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Финансовая поддержка субъектов малого и среднего предпринимательства осуществлялась Клинцовской городской администрацией в соответствии с перечнем мероприятий, видами, условиями и порядком предоставления финансовой поддержки, которые определены Программой, а также нормативными правовыми актами Российской Федерации, Брянской области и Клинцовской городской администрации. 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Так же мероприятие программы «Финансовая поддержка начинающим субъектам малого и среднего предпринимательства в виде субсидий на развитие собственного дела» за счет средств областного бюджета в 2015 году – в размере 60 000,0 руб., в 2016 году – в размере 60 800,0 руб., реализовано ГКУ «Центр занятости населения города Клинцы». 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Общие затраты на реализацию ведомственной целевой программы «Развитие малого и среднего предпринимательства в городе Клинцы» на 2015–2017 годы составили 22 399 442,23 рублей, в том числе: средства областного бюджета – 21 262 710,12 руб.; средства бюджета городского округа –1 112 732,11 руб.; прочие источники – 24 000,00 руб.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Несмотря на наметившиеся в последние годы положительные тенденции в улучшении предпринимательского климата, не в полной мере решены препятствующие развитию малого и среднего бизнеса проблемы, в числе которых можно отметить:</w:t>
      </w:r>
    </w:p>
    <w:p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трудности в привлечении финансовых ресурсов на развитие бизнеса, особенно на стадии становления бизнеса;</w:t>
      </w:r>
    </w:p>
    <w:p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недостаток собственных ресурсов у субъектов малого и среднего предпринимательства и затрудненный доступ к источникам финансирования;</w:t>
      </w:r>
    </w:p>
    <w:p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трудности с получением банковских кредитов и высокие процентные ставки по ним;</w:t>
      </w:r>
    </w:p>
    <w:p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недостаток квалифицированных кадров рабочих профессий, менеджеров, невысокий уровень оплаты труда.</w:t>
      </w:r>
    </w:p>
    <w:p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Для увеличения объемов финансирования мероприятий по развитию малого и среднего предпринимательства предполагается дальнейшее участие городского округа «город Клинцы Брянской области» в конкурсах, проводимых Департаментом экономического развития Брянской области, на получение средств федерального бюджета и бюджета Брянской области, выделяемых на оказание государственной поддержки малого и среднего предпринимательства.</w:t>
      </w:r>
    </w:p>
    <w:p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  <w:t>Цели и задачи программы</w:t>
      </w:r>
    </w:p>
    <w:p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Целью программы является создание благоприятных условий для обеспечения устойчивого развития предпринимательства на территории городского округа «город Клинцы Брянской области», повышение социально-экономической эффективности его деятельности.</w:t>
      </w:r>
    </w:p>
    <w:p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Задачи программы определяются ее конечной целью и заключаются в: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-создании благоприятных условий для устойчивой деятельности малых предприятий и преодолении административных барьеров на пути развития малого предпринимательства в городе;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-повышении эффективности деятельности органов местного самоуправления в вопросах поддержки малого предпринимательства, ориентации органов власти на более тесное сотрудничество с негосударственными структурами поддержки малого бизнеса;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-развитии информационного обеспечения как одного из приоритетных направлений поддержки малого бизнеса;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-обеспечении развития инфраструктуры поддержки малого предпринимательства;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-обеспечении инвестиционной и имущественной поддержки субъектов малого предпринимательства;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-качественном улучшении условий для развития предпринимательской деятельности и здоровой конкурентной среды;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-увеличении количества малых предприятий, занятых в производственной сфере;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-увеличении числа рабочих мест;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-увеличении объема выручки от реализации малыми предприятиями товаров, работ и услуг;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-росте инвестиционной активности субъектов малого предпринимательства;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-увеличении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округа.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-организации конференций, семинаров, круглых столов;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-проведении ярмарок-вакансий рабочих мест;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-организации выставочно-ярмарочной деятельности.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180"/>
        <w:jc w:val="center"/>
        <w:textAlignment w:val="baseline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  <w:t>Описание ожидаемых результатов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  <w:t>реализации программы и целевые индикаторы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</w:p>
    <w:p>
      <w:pPr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Координация выполнения программных мероприятий включает в себя проведение ежегодного мониторинга развития предпринимательской деятельности в городском округе  и влияния программных мероприятий на ее развитие, проведение оценки заявленных показателей и фактически достигнутых результатов реализации программных мероприятий.</w:t>
      </w:r>
    </w:p>
    <w:p>
      <w:pPr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В результате реализации мероприятий программы в 2018-2020 гг. будут достигнуты следующие социально-экономические показатели, характеризующие экономическую,  социальную эффективность развития малого и среднего предпринимательства:</w:t>
      </w:r>
    </w:p>
    <w:p>
      <w:pPr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Показатели социально-экономической эффективности:</w:t>
      </w:r>
    </w:p>
    <w:p>
      <w:pPr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– ежегодное увеличение количества субъектов малого и среднего предпринимательства на 1,2%;</w:t>
      </w:r>
    </w:p>
    <w:p>
      <w:pPr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– ежегодное увеличение количества создаваемых рабочих мест на предприятиях  субъектов  малого и среднего  предпринимательства на 30 человек;</w:t>
      </w:r>
    </w:p>
    <w:p>
      <w:pPr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</w:p>
    <w:tbl>
      <w:tblPr>
        <w:tblStyle w:val="4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1340"/>
        <w:gridCol w:w="1384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1340" w:type="dxa"/>
            <w:vMerge w:val="restart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3904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6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2019 год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180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2020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Темп роста субъектов малого и среднего предпринимательства</w:t>
            </w:r>
          </w:p>
        </w:tc>
        <w:tc>
          <w:tcPr>
            <w:tcW w:w="13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8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6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6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Увеличение количества создаваемых рабочих мест на предприятиях  субъектов  малого и среднего  предпринимательства</w:t>
            </w:r>
          </w:p>
        </w:tc>
        <w:tc>
          <w:tcPr>
            <w:tcW w:w="13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8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30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180"/>
        <w:jc w:val="center"/>
        <w:textAlignment w:val="baseline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  <w:t>Перечень  и описание программных  мероприятий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Система мероприятий программы направлена на создание благоприятных условий для обеспечения устойчивого развития предпринимательства на территории городского округа «город Клинцы Брянской области» и представлена разделами: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Информационная поддержка субъектов малого предпринимательства;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Консультационная поддержка субъектов малого предпринимательства;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Поддержка в области подготовки, переподготовки и повышения квалификации кадров субъектов малого предпринимательства;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- Содействие росту конкурентоспособности и продвижению продукции субъектов малого и среднего предпринимательства; 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Предоставление субсидий субъектам малого и среднего предпринимательства.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Конкретные мероприятия программы, представлены в приложении № 1 к программе.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  <w:t>Сроки реализации программы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outlineLvl w:val="1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Сроки реализации программы: 2018 - 2020 годы.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  <w:t>Прогноз конечных результатов  ведомственной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  <w:t>целевой программы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Реализация программы позволит обеспечить в 2018 - 2020 годах создание более благоприятных условий для развития предпринимательства на территории городского округа «город Клинцы Брянской области».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hAnsi="Times New Roman" w:eastAsia="Times New Roman" w:cs="Times New Roman"/>
          <w:iCs w:val="0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u w:val="single"/>
          <w:lang w:eastAsia="ru-RU"/>
        </w:rPr>
        <w:t>Реализация мероприятий программы позволит: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-наладить информационную поддержку субъектов малого предпринимательства;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-расширить возможности использования муниципального имущества и предприятий;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-создать более благоприятные условия для повышения деловой активности субъектов малого предпринимательства;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-предоставить возможности для трудоустройства гражданам, ищущим работу в области малого бизнеса;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-оказать поддержку субъектам малого предпринимательства, осуществляющим внешнеэкономическую деятельность.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hAnsi="Times New Roman" w:eastAsia="Times New Roman" w:cs="Times New Roman"/>
          <w:iCs w:val="0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u w:val="single"/>
          <w:lang w:eastAsia="ru-RU"/>
        </w:rPr>
        <w:t>Эффективность реализации программы характеризуется следующими показателями: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-ежегодное увеличение количества субъектов малого предпринимательства не менее чем на 1,2 процента;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-ежегодное увеличение численности занятых в сфере малого предпринимательства не менее чем на 30 человек.</w:t>
      </w:r>
    </w:p>
    <w:p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</w:p>
    <w:p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  <w:t>Объемы бюджетных ассигнований на реализацию ведомственной целевой программы</w:t>
      </w:r>
    </w:p>
    <w:p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iCs w:val="0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4"/>
          <w:szCs w:val="24"/>
          <w:u w:val="single"/>
          <w:lang w:eastAsia="ru-RU"/>
        </w:rPr>
        <w:t>Общие затраты на реализацию программы составят  50 000,0 руб.,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в том числе: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средства федерального бюджета – 0 руб.;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-средства бюджета Брянской области – 0 руб.</w:t>
      </w:r>
    </w:p>
    <w:p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- средства бюджета городского округа – 50 000,0 руб.;</w:t>
      </w:r>
    </w:p>
    <w:p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- прочие источники – 0 руб.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u w:val="single"/>
          <w:lang w:eastAsia="ru-RU"/>
        </w:rPr>
        <w:t>Финансирование программы по годам</w:t>
      </w: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4"/>
          <w:szCs w:val="24"/>
          <w:lang w:eastAsia="ru-RU"/>
        </w:rPr>
        <w:t>2018  – 50 000,0 руб.,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в том числе: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средства федерального бюджета -  0 руб.;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-средства бюджета Брянской области – 0 руб.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средства бюджета городского округа – 50 000,0 руб.;</w:t>
      </w:r>
    </w:p>
    <w:p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- прочие источники – 0 руб.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4"/>
          <w:szCs w:val="24"/>
          <w:lang w:eastAsia="ru-RU"/>
        </w:rPr>
        <w:t>2019 –  0 руб.,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в том числе: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средства федерального бюджета -   0 руб.;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-средства бюджета Брянской области – 0 руб.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средства бюджета городского округа -  0 руб.;</w:t>
      </w:r>
    </w:p>
    <w:p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- прочие источники – 0 руб.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4"/>
          <w:szCs w:val="24"/>
          <w:lang w:eastAsia="ru-RU"/>
        </w:rPr>
        <w:t>2020 –  0 руб.,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в том числе: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средства федерального бюджета -   0 руб.;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-средства бюджета Брянской области – 0 руб.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- средства бюджета городского округа -  0 руб.;</w:t>
      </w:r>
    </w:p>
    <w:p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- прочие источники – 0 руб.</w:t>
      </w:r>
    </w:p>
    <w:p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eastAsia="Times New Roman" w:cs="Arial"/>
          <w:iCs w:val="0"/>
          <w:sz w:val="20"/>
          <w:szCs w:val="20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180"/>
        <w:jc w:val="center"/>
        <w:outlineLvl w:val="1"/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Cs w:val="0"/>
          <w:sz w:val="28"/>
          <w:szCs w:val="28"/>
          <w:lang w:val="en-US" w:eastAsia="ru-RU"/>
        </w:rPr>
        <w:t>VIII</w:t>
      </w:r>
      <w:r>
        <w:rPr>
          <w:rFonts w:ascii="Times New Roman" w:hAnsi="Times New Roman" w:eastAsia="Times New Roman" w:cs="Times New Roman"/>
          <w:b/>
          <w:iCs w:val="0"/>
          <w:sz w:val="28"/>
          <w:szCs w:val="28"/>
          <w:lang w:eastAsia="ru-RU"/>
        </w:rPr>
        <w:t>. Система управления реализацией программы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hAnsi="Times New Roman" w:eastAsia="Times New Roman" w:cs="Times New Roman"/>
          <w:b/>
          <w:iCs w:val="0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Текущее управление реализацией программы осуществляется отделом экономического анализа, прогнозирования, торговли и потребительского рынка Клинцовской городской администрации.</w:t>
      </w:r>
    </w:p>
    <w:p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Финансирование выполнения мероприятий за счет средств бюджета городского округа осуществляется финансовым управлением Клинцовской городской администрации.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Контроль осуществляется посредствам анализа предоставляемой отчетности о результатах реализации мероприятий программы. 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 Ежеквартально отдел экономического анализа, прогнозирования, торговли и потребительского рынка Клинцовской городской администрации представляет в финансовое управление Клинцовской городской администрации в срок до 15 числа месяца, следующего за отчетным, отчет о ходе выполнения реализации программы.</w:t>
      </w:r>
    </w:p>
    <w:p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  Ежегодно, в срок до 1 марта года, следующего за отчетным, представляется отчет о ходе реализации мероприятий программы и оценка эффективности реализации программы.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eastAsia="Times New Roman" w:cs="Times New Roman"/>
          <w:iCs w:val="0"/>
          <w:sz w:val="28"/>
          <w:szCs w:val="28"/>
          <w:lang w:eastAsia="ru-RU"/>
        </w:rPr>
        <w:sectPr>
          <w:footerReference r:id="rId4" w:type="default"/>
          <w:footerReference r:id="rId5" w:type="even"/>
          <w:pgSz w:w="11906" w:h="16838"/>
          <w:pgMar w:top="709" w:right="851" w:bottom="851" w:left="1418" w:header="709" w:footer="709" w:gutter="0"/>
          <w:cols w:space="708" w:num="1"/>
          <w:docGrid w:linePitch="360" w:charSpace="0"/>
        </w:sect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>Приложение № 1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к ведомственной целевой программе                       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      «Развитие малого и среднего предпринимательства 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на территории городского округа «город Клинцы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Брянской области» (2018 – 2020 гг.)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t xml:space="preserve">МЕРОПРИЯТИЯ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 w:val="0"/>
          <w:sz w:val="24"/>
          <w:szCs w:val="24"/>
          <w:lang w:eastAsia="ru-RU"/>
        </w:rPr>
        <w:t>ведомственной целевой программы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 w:val="0"/>
          <w:sz w:val="24"/>
          <w:szCs w:val="24"/>
          <w:lang w:eastAsia="ru-RU"/>
        </w:rPr>
        <w:t>«РАЗВИТИЕ МАЛОГО И СРЕДНЕГО ПРЕДПРИНИМАТЕЛЬСТВА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 w:val="0"/>
          <w:sz w:val="24"/>
          <w:szCs w:val="24"/>
          <w:lang w:eastAsia="ru-RU"/>
        </w:rPr>
        <w:t>НА ТЕРРИТОРИИ ГОРОДСКОГО ОКРУГА «ГОРОД КЛИНЦЫ БРЯНСКОЙ ОБЛАСТИ» (2018 - 2020 гг.)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bCs/>
          <w:iCs w:val="0"/>
          <w:sz w:val="24"/>
          <w:szCs w:val="24"/>
          <w:lang w:eastAsia="ru-RU"/>
        </w:rPr>
      </w:pPr>
    </w:p>
    <w:tbl>
      <w:tblPr>
        <w:tblStyle w:val="20"/>
        <w:tblpPr w:leftFromText="180" w:rightFromText="180" w:vertAnchor="text" w:tblpY="1"/>
        <w:tblOverlap w:val="never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828"/>
        <w:gridCol w:w="1440"/>
        <w:gridCol w:w="900"/>
        <w:gridCol w:w="1080"/>
        <w:gridCol w:w="1080"/>
        <w:gridCol w:w="1080"/>
        <w:gridCol w:w="216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Срок реализации 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Объем финансирования, рублей 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 Ответственные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исполнители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2019 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1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Информационная поддержка субъектов малого и среднего предпринимательства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Проведение мониторинга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малого и среднего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предпринимательства</w:t>
            </w:r>
            <w:r>
              <w:rPr>
                <w:rFonts w:ascii="Courier New" w:hAnsi="Courier New" w:eastAsia="Times New Roman" w:cs="Courier New"/>
                <w:iCs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и причин, препятствующих его развитию на территории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городского округа «город Клинцы Брянской области»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</w:tbl>
    <w:tbl>
      <w:tblPr>
        <w:tblStyle w:val="20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828"/>
        <w:gridCol w:w="1440"/>
        <w:gridCol w:w="900"/>
        <w:gridCol w:w="1080"/>
        <w:gridCol w:w="1080"/>
        <w:gridCol w:w="1080"/>
        <w:gridCol w:w="216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Оказание помощи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субъектам малого бизнеса в получении информации о свободных муниципальных площадях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г. Клинцы</w:t>
            </w:r>
          </w:p>
        </w:tc>
      </w:tr>
    </w:tbl>
    <w:tbl>
      <w:tblPr>
        <w:tblStyle w:val="20"/>
        <w:tblpPr w:leftFromText="180" w:rightFromText="180" w:vertAnchor="text" w:tblpY="1"/>
        <w:tblOverlap w:val="never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8"/>
        <w:gridCol w:w="3780"/>
        <w:gridCol w:w="1440"/>
        <w:gridCol w:w="900"/>
        <w:gridCol w:w="1080"/>
        <w:gridCol w:w="1080"/>
        <w:gridCol w:w="1080"/>
        <w:gridCol w:w="216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малых предприятий в ежегодной научно-технической конференции «Новые идеи, технологии, проекты и инвестиции»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в инвестиционных конкурсах инвестиционных проектов предприятий малого бизнеса и ИП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Финансовая поддержка начинающим субъектам малого и среднего предпринимательства в виде субсидий на развитие собственного дела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Областной бюджет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Консультационная поддержка субъектов малого и среднего предпринимательства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Проведение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информационных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семинаров с предпринимателями и     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представителями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органов  власти местного  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самоуправления  по актуальным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вопросам поддержки и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развития  предпринимательства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Развитие действующей          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информационной 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поддержки малого и среднего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предпринимательства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Прочие источники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Подготовка и размещение в СМИ информационных  материалов, освещающих вопросы деятельности  субъектов малого и среднего предпринимательства, результаты реализации настоящей программы.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Поддержка в области подготовки, переподготовки и повышения квалификации кадров субъектов малого и среднего предпринимательства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Организация профессионального обучения безработных для последующей работы в сфере малого бизнеса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Организация семинаров, конференций, круглых столов по актуальным темам становления и развития малого и среднего предпринимательства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администрации,  ГКУ «Центр занятости населения»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20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828"/>
        <w:gridCol w:w="1440"/>
        <w:gridCol w:w="900"/>
        <w:gridCol w:w="1080"/>
        <w:gridCol w:w="1080"/>
        <w:gridCol w:w="1080"/>
        <w:gridCol w:w="216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3.3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Проведение тематических ярмарок вакансий рабочих мест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20"/>
        <w:tblpPr w:leftFromText="180" w:rightFromText="180" w:vertAnchor="text" w:tblpY="1"/>
        <w:tblOverlap w:val="never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828"/>
        <w:gridCol w:w="1440"/>
        <w:gridCol w:w="900"/>
        <w:gridCol w:w="1080"/>
        <w:gridCol w:w="1080"/>
        <w:gridCol w:w="1080"/>
        <w:gridCol w:w="216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Содействие росту конкурентоспособности и продвижению продукции субъектов малого и среднего предпринимательства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Содействие развитию молодежного предпринимательства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Организация и проведение информационно-консультационных мероприятий для субъектов малого и среднего предпринимательства по вопросам развития бизнеса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4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 xml:space="preserve">Предоставление  на конкурсной основе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субсидий субъектам малого и среднего предпринимательства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2018-2020 гг.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10"/>
                <w:szCs w:val="1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10"/>
                <w:szCs w:val="1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10"/>
                <w:szCs w:val="1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10"/>
                <w:szCs w:val="1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10"/>
                <w:szCs w:val="1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10"/>
                <w:szCs w:val="1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10"/>
                <w:szCs w:val="1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"/>
                <w:szCs w:val="2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"/>
                <w:szCs w:val="2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"/>
                <w:szCs w:val="2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"/>
                <w:szCs w:val="2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"/>
                <w:szCs w:val="2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  <w:t>50000,0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10"/>
                <w:szCs w:val="1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10"/>
                <w:szCs w:val="1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10"/>
                <w:szCs w:val="1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Cs w:val="0"/>
                <w:sz w:val="10"/>
                <w:szCs w:val="10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Областной бюджет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бюджет  городского округа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"/>
                <w:szCs w:val="2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"/>
                <w:szCs w:val="2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iCs w:val="0"/>
          <w:sz w:val="24"/>
          <w:szCs w:val="24"/>
          <w:lang w:eastAsia="ru-RU"/>
        </w:rPr>
        <w:sectPr>
          <w:pgSz w:w="16838" w:h="11906" w:orient="landscape"/>
          <w:pgMar w:top="851" w:right="998" w:bottom="680" w:left="1134" w:header="720" w:footer="720" w:gutter="0"/>
          <w:cols w:space="720" w:num="1"/>
        </w:sect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right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18"/>
        <w:rFonts w:eastAsiaTheme="majorEastAsia"/>
      </w:rPr>
    </w:pPr>
  </w:p>
  <w:p>
    <w:pPr>
      <w:pStyle w:val="1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18"/>
        <w:rFonts w:eastAsiaTheme="majorEastAsia"/>
      </w:rPr>
    </w:pPr>
    <w:r>
      <w:rPr>
        <w:rStyle w:val="18"/>
        <w:rFonts w:eastAsiaTheme="majorEastAsia"/>
      </w:rPr>
      <w:fldChar w:fldCharType="begin"/>
    </w:r>
    <w:r>
      <w:rPr>
        <w:rStyle w:val="18"/>
        <w:rFonts w:eastAsiaTheme="majorEastAsia"/>
      </w:rPr>
      <w:instrText xml:space="preserve">PAGE  </w:instrText>
    </w:r>
    <w:r>
      <w:rPr>
        <w:rStyle w:val="18"/>
        <w:rFonts w:eastAsiaTheme="majorEastAsia"/>
      </w:rPr>
      <w:fldChar w:fldCharType="end"/>
    </w:r>
  </w:p>
  <w:p>
    <w:pPr>
      <w:pStyle w:val="1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1D1A"/>
    <w:multiLevelType w:val="multilevel"/>
    <w:tmpl w:val="1B221D1A"/>
    <w:lvl w:ilvl="0" w:tentative="0">
      <w:start w:val="1"/>
      <w:numFmt w:val="decimal"/>
      <w:lvlText w:val="%1)"/>
      <w:lvlJc w:val="left"/>
      <w:pPr>
        <w:tabs>
          <w:tab w:val="left" w:pos="1338"/>
        </w:tabs>
        <w:ind w:left="1338" w:hanging="63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entative="0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entative="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">
    <w:nsid w:val="33724A7A"/>
    <w:multiLevelType w:val="multilevel"/>
    <w:tmpl w:val="33724A7A"/>
    <w:lvl w:ilvl="0" w:tentative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38246C9B"/>
    <w:multiLevelType w:val="multilevel"/>
    <w:tmpl w:val="38246C9B"/>
    <w:lvl w:ilvl="0" w:tentative="0">
      <w:start w:val="3"/>
      <w:numFmt w:val="upperRoman"/>
      <w:lvlText w:val="%1."/>
      <w:lvlJc w:val="left"/>
      <w:pPr>
        <w:tabs>
          <w:tab w:val="left" w:pos="1080"/>
        </w:tabs>
        <w:ind w:left="108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9911088"/>
    <w:multiLevelType w:val="multilevel"/>
    <w:tmpl w:val="79911088"/>
    <w:lvl w:ilvl="0" w:tentative="0">
      <w:start w:val="1"/>
      <w:numFmt w:val="bullet"/>
      <w:pStyle w:val="35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F2"/>
    <w:rsid w:val="000313FB"/>
    <w:rsid w:val="00041CFA"/>
    <w:rsid w:val="000A02E8"/>
    <w:rsid w:val="000B088D"/>
    <w:rsid w:val="000D1942"/>
    <w:rsid w:val="000F5F4B"/>
    <w:rsid w:val="00144702"/>
    <w:rsid w:val="001624C0"/>
    <w:rsid w:val="0018256D"/>
    <w:rsid w:val="00186D7A"/>
    <w:rsid w:val="001A7281"/>
    <w:rsid w:val="001A7507"/>
    <w:rsid w:val="001E2267"/>
    <w:rsid w:val="00207E87"/>
    <w:rsid w:val="00270189"/>
    <w:rsid w:val="0034637D"/>
    <w:rsid w:val="00421D22"/>
    <w:rsid w:val="00451974"/>
    <w:rsid w:val="0049387C"/>
    <w:rsid w:val="004B2E59"/>
    <w:rsid w:val="00516FAA"/>
    <w:rsid w:val="00591E1F"/>
    <w:rsid w:val="005B77C6"/>
    <w:rsid w:val="005C3186"/>
    <w:rsid w:val="005D29F2"/>
    <w:rsid w:val="006373E0"/>
    <w:rsid w:val="00651DBE"/>
    <w:rsid w:val="006B6E8B"/>
    <w:rsid w:val="007C4239"/>
    <w:rsid w:val="007C77F8"/>
    <w:rsid w:val="007D5621"/>
    <w:rsid w:val="00843833"/>
    <w:rsid w:val="008C18DB"/>
    <w:rsid w:val="008E768E"/>
    <w:rsid w:val="00910B55"/>
    <w:rsid w:val="00984F53"/>
    <w:rsid w:val="009D1E7A"/>
    <w:rsid w:val="009D6723"/>
    <w:rsid w:val="009E51FA"/>
    <w:rsid w:val="00AB1456"/>
    <w:rsid w:val="00C31E8B"/>
    <w:rsid w:val="00C95B84"/>
    <w:rsid w:val="00D520EC"/>
    <w:rsid w:val="00D56D4D"/>
    <w:rsid w:val="00FC0500"/>
    <w:rsid w:val="5C18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88" w:lineRule="auto"/>
    </w:pPr>
    <w:rPr>
      <w:rFonts w:asciiTheme="minorHAnsi" w:hAnsiTheme="minorHAnsi" w:eastAsiaTheme="minorHAnsi" w:cstheme="minorBidi"/>
      <w:iCs/>
      <w:sz w:val="21"/>
      <w:szCs w:val="21"/>
      <w:lang w:val="ru-RU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pBdr>
        <w:top w:val="single" w:color="C0504D" w:themeColor="accent2" w:sz="12" w:space="1"/>
        <w:left w:val="single" w:color="C0504D" w:themeColor="accent2" w:sz="12" w:space="4"/>
        <w:bottom w:val="single" w:color="C0504D" w:themeColor="accent2" w:sz="12" w:space="1"/>
        <w:right w:val="single" w:color="C0504D" w:themeColor="accent2" w:sz="12" w:space="4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3">
    <w:name w:val="heading 2"/>
    <w:basedOn w:val="1"/>
    <w:next w:val="1"/>
    <w:link w:val="23"/>
    <w:unhideWhenUsed/>
    <w:qFormat/>
    <w:uiPriority w:val="9"/>
    <w:pPr>
      <w:spacing w:before="200" w:after="60" w:line="240" w:lineRule="auto"/>
      <w:contextualSpacing/>
      <w:outlineLvl w:val="1"/>
    </w:pPr>
    <w:rPr>
      <w:rFonts w:asciiTheme="majorHAnsi" w:hAnsiTheme="majorHAnsi" w:eastAsiaTheme="majorEastAsia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4">
    <w:name w:val="heading 3"/>
    <w:basedOn w:val="1"/>
    <w:next w:val="1"/>
    <w:link w:val="24"/>
    <w:unhideWhenUsed/>
    <w:qFormat/>
    <w:uiPriority w:val="9"/>
    <w:pPr>
      <w:spacing w:before="200" w:after="100" w:line="240" w:lineRule="auto"/>
      <w:contextualSpacing/>
      <w:outlineLvl w:val="2"/>
    </w:pPr>
    <w:rPr>
      <w:rFonts w:asciiTheme="majorHAnsi" w:hAnsiTheme="majorHAnsi" w:eastAsiaTheme="majorEastAsia" w:cstheme="majorBidi"/>
      <w:b/>
      <w:bCs/>
      <w:smallCaps/>
      <w:color w:val="953735" w:themeColor="accent2" w:themeShade="BF"/>
      <w:spacing w:val="24"/>
      <w:sz w:val="28"/>
      <w:szCs w:val="22"/>
    </w:rPr>
  </w:style>
  <w:style w:type="paragraph" w:styleId="5">
    <w:name w:val="heading 4"/>
    <w:basedOn w:val="1"/>
    <w:next w:val="1"/>
    <w:link w:val="25"/>
    <w:unhideWhenUsed/>
    <w:qFormat/>
    <w:uiPriority w:val="9"/>
    <w:pPr>
      <w:spacing w:before="200" w:after="100" w:line="240" w:lineRule="auto"/>
      <w:contextualSpacing/>
      <w:outlineLvl w:val="3"/>
    </w:pPr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2"/>
    </w:rPr>
  </w:style>
  <w:style w:type="paragraph" w:styleId="6">
    <w:name w:val="heading 5"/>
    <w:basedOn w:val="1"/>
    <w:next w:val="1"/>
    <w:link w:val="26"/>
    <w:unhideWhenUsed/>
    <w:qFormat/>
    <w:uiPriority w:val="9"/>
    <w:pPr>
      <w:spacing w:before="200" w:after="100" w:line="240" w:lineRule="auto"/>
      <w:contextualSpacing/>
      <w:outlineLvl w:val="4"/>
    </w:pPr>
    <w:rPr>
      <w:rFonts w:asciiTheme="majorHAnsi" w:hAnsiTheme="majorHAnsi" w:eastAsiaTheme="majorEastAsia" w:cstheme="majorBidi"/>
      <w:bCs/>
      <w:caps/>
      <w:color w:val="953735" w:themeColor="accent2" w:themeShade="BF"/>
      <w:sz w:val="22"/>
      <w:szCs w:val="22"/>
    </w:rPr>
  </w:style>
  <w:style w:type="paragraph" w:styleId="7">
    <w:name w:val="heading 6"/>
    <w:basedOn w:val="1"/>
    <w:next w:val="1"/>
    <w:link w:val="27"/>
    <w:unhideWhenUsed/>
    <w:qFormat/>
    <w:uiPriority w:val="9"/>
    <w:pPr>
      <w:spacing w:before="200" w:after="100" w:line="240" w:lineRule="auto"/>
      <w:contextualSpacing/>
      <w:outlineLvl w:val="5"/>
    </w:pPr>
    <w:rPr>
      <w:rFonts w:asciiTheme="majorHAnsi" w:hAnsiTheme="majorHAnsi" w:eastAsiaTheme="majorEastAsia" w:cstheme="majorBidi"/>
      <w:color w:val="376092" w:themeColor="accent1" w:themeShade="BF"/>
      <w:sz w:val="22"/>
      <w:szCs w:val="22"/>
    </w:rPr>
  </w:style>
  <w:style w:type="paragraph" w:styleId="8">
    <w:name w:val="heading 7"/>
    <w:basedOn w:val="1"/>
    <w:next w:val="1"/>
    <w:link w:val="28"/>
    <w:unhideWhenUsed/>
    <w:qFormat/>
    <w:uiPriority w:val="9"/>
    <w:pP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color w:val="953735" w:themeColor="accent2" w:themeShade="BF"/>
      <w:sz w:val="22"/>
      <w:szCs w:val="22"/>
    </w:rPr>
  </w:style>
  <w:style w:type="paragraph" w:styleId="9">
    <w:name w:val="heading 8"/>
    <w:basedOn w:val="1"/>
    <w:next w:val="1"/>
    <w:link w:val="29"/>
    <w:unhideWhenUsed/>
    <w:qFormat/>
    <w:uiPriority w:val="9"/>
    <w:pPr>
      <w:spacing w:before="200" w:after="100" w:line="240" w:lineRule="auto"/>
      <w:contextualSpacing/>
      <w:outlineLvl w:val="7"/>
    </w:pPr>
    <w:rPr>
      <w:rFonts w:asciiTheme="majorHAnsi" w:hAnsiTheme="majorHAnsi" w:eastAsiaTheme="majorEastAsia" w:cstheme="majorBidi"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0"/>
    <w:unhideWhenUsed/>
    <w:qFormat/>
    <w:uiPriority w:val="9"/>
    <w:pPr>
      <w:spacing w:before="200" w:after="100" w:line="240" w:lineRule="auto"/>
      <w:contextualSpacing/>
      <w:outlineLvl w:val="8"/>
    </w:pPr>
    <w:rPr>
      <w:rFonts w:asciiTheme="majorHAnsi" w:hAnsiTheme="majorHAnsi" w:eastAsiaTheme="majorEastAsia" w:cstheme="majorBidi"/>
      <w:smallCaps/>
      <w:color w:val="C0504D" w:themeColor="accent2"/>
      <w:sz w:val="20"/>
      <w14:textFill>
        <w14:solidFill>
          <w14:schemeClr w14:val="accent2"/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8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caption"/>
    <w:basedOn w:val="1"/>
    <w:next w:val="1"/>
    <w:unhideWhenUsed/>
    <w:qFormat/>
    <w:uiPriority w:val="35"/>
    <w:rPr>
      <w:b/>
      <w:bCs/>
      <w:color w:val="953735" w:themeColor="accent2" w:themeShade="BF"/>
      <w:sz w:val="18"/>
      <w:szCs w:val="18"/>
    </w:rPr>
  </w:style>
  <w:style w:type="paragraph" w:styleId="13">
    <w:name w:val="Title"/>
    <w:basedOn w:val="1"/>
    <w:next w:val="1"/>
    <w:link w:val="31"/>
    <w:qFormat/>
    <w:uiPriority w:val="10"/>
    <w:pPr>
      <w:shd w:val="clear" w:color="auto" w:fill="FFFFFF" w:themeFill="background1"/>
      <w:spacing w:after="120" w:line="240" w:lineRule="auto"/>
    </w:pPr>
    <w:rPr>
      <w:rFonts w:asciiTheme="majorHAnsi" w:hAnsiTheme="majorHAnsi" w:eastAsiaTheme="majorEastAsia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  <w14:textFill>
        <w14:solidFill>
          <w14:schemeClr w14:val="bg1"/>
        </w14:solidFill>
      </w14:textFill>
    </w:rPr>
  </w:style>
  <w:style w:type="paragraph" w:styleId="14">
    <w:name w:val="footer"/>
    <w:basedOn w:val="1"/>
    <w:link w:val="4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Subtitle"/>
    <w:basedOn w:val="1"/>
    <w:next w:val="1"/>
    <w:link w:val="32"/>
    <w:qFormat/>
    <w:uiPriority w:val="11"/>
    <w:pPr>
      <w:spacing w:before="200" w:after="360" w:line="240" w:lineRule="auto"/>
    </w:pPr>
    <w:rPr>
      <w:rFonts w:asciiTheme="majorHAnsi" w:hAnsiTheme="majorHAnsi" w:eastAsiaTheme="majorEastAsia" w:cstheme="majorBidi"/>
      <w:color w:val="1F497D" w:themeColor="text2"/>
      <w:spacing w:val="20"/>
      <w:sz w:val="24"/>
      <w:szCs w:val="24"/>
      <w14:textFill>
        <w14:solidFill>
          <w14:schemeClr w14:val="tx2"/>
        </w14:solidFill>
      </w14:textFill>
    </w:rPr>
  </w:style>
  <w:style w:type="character" w:styleId="17">
    <w:name w:val="Emphasis"/>
    <w:qFormat/>
    <w:uiPriority w:val="20"/>
    <w:rPr>
      <w:rFonts w:eastAsiaTheme="majorEastAsia" w:cstheme="majorBidi"/>
      <w:b/>
      <w:bCs/>
      <w:color w:val="953735" w:themeColor="accent2" w:themeShade="BF"/>
      <w:bdr w:val="single" w:color="EEECE1" w:themeColor="background2" w:sz="18" w:space="0"/>
      <w:shd w:val="clear" w:color="auto" w:fill="EEECE1" w:themeFill="background2"/>
    </w:rPr>
  </w:style>
  <w:style w:type="character" w:styleId="18">
    <w:name w:val="page number"/>
    <w:basedOn w:val="16"/>
    <w:uiPriority w:val="0"/>
  </w:style>
  <w:style w:type="character" w:styleId="19">
    <w:name w:val="Strong"/>
    <w:qFormat/>
    <w:uiPriority w:val="22"/>
    <w:rPr>
      <w:b/>
      <w:bCs/>
      <w:spacing w:val="0"/>
    </w:rPr>
  </w:style>
  <w:style w:type="table" w:styleId="21">
    <w:name w:val="Table Grid"/>
    <w:basedOn w:val="2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1 Знак"/>
    <w:basedOn w:val="16"/>
    <w:link w:val="2"/>
    <w:qFormat/>
    <w:uiPriority w:val="9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3">
    <w:name w:val="Заголовок 2 Знак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24">
    <w:name w:val="Заголовок 3 Знак"/>
    <w:basedOn w:val="16"/>
    <w:link w:val="4"/>
    <w:semiHidden/>
    <w:qFormat/>
    <w:uiPriority w:val="9"/>
    <w:rPr>
      <w:rFonts w:asciiTheme="majorHAnsi" w:hAnsiTheme="majorHAnsi" w:eastAsiaTheme="majorEastAsia" w:cstheme="majorBidi"/>
      <w:b/>
      <w:bCs/>
      <w:iCs/>
      <w:smallCaps/>
      <w:color w:val="953735" w:themeColor="accent2" w:themeShade="BF"/>
      <w:spacing w:val="24"/>
      <w:sz w:val="28"/>
    </w:rPr>
  </w:style>
  <w:style w:type="character" w:customStyle="1" w:styleId="25">
    <w:name w:val="Заголовок 4 Знак"/>
    <w:basedOn w:val="16"/>
    <w:link w:val="5"/>
    <w:semiHidden/>
    <w:qFormat/>
    <w:uiPriority w:val="9"/>
    <w:rPr>
      <w:rFonts w:asciiTheme="majorHAnsi" w:hAnsiTheme="majorHAnsi" w:eastAsiaTheme="majorEastAsia" w:cstheme="majorBidi"/>
      <w:b/>
      <w:bCs/>
      <w:iCs/>
      <w:color w:val="376092" w:themeColor="accent1" w:themeShade="BF"/>
      <w:sz w:val="24"/>
    </w:rPr>
  </w:style>
  <w:style w:type="character" w:customStyle="1" w:styleId="26">
    <w:name w:val="Заголовок 5 Знак"/>
    <w:basedOn w:val="16"/>
    <w:link w:val="6"/>
    <w:semiHidden/>
    <w:uiPriority w:val="9"/>
    <w:rPr>
      <w:rFonts w:asciiTheme="majorHAnsi" w:hAnsiTheme="majorHAnsi" w:eastAsiaTheme="majorEastAsia" w:cstheme="majorBidi"/>
      <w:bCs/>
      <w:iCs/>
      <w:caps/>
      <w:color w:val="953735" w:themeColor="accent2" w:themeShade="BF"/>
    </w:rPr>
  </w:style>
  <w:style w:type="character" w:customStyle="1" w:styleId="27">
    <w:name w:val="Заголовок 6 Знак"/>
    <w:basedOn w:val="16"/>
    <w:link w:val="7"/>
    <w:semiHidden/>
    <w:qFormat/>
    <w:uiPriority w:val="9"/>
    <w:rPr>
      <w:rFonts w:asciiTheme="majorHAnsi" w:hAnsiTheme="majorHAnsi" w:eastAsiaTheme="majorEastAsia" w:cstheme="majorBidi"/>
      <w:iCs/>
      <w:color w:val="376092" w:themeColor="accent1" w:themeShade="BF"/>
    </w:rPr>
  </w:style>
  <w:style w:type="character" w:customStyle="1" w:styleId="28">
    <w:name w:val="Заголовок 7 Знак"/>
    <w:basedOn w:val="16"/>
    <w:link w:val="8"/>
    <w:semiHidden/>
    <w:qFormat/>
    <w:uiPriority w:val="9"/>
    <w:rPr>
      <w:rFonts w:asciiTheme="majorHAnsi" w:hAnsiTheme="majorHAnsi" w:eastAsiaTheme="majorEastAsia" w:cstheme="majorBidi"/>
      <w:iCs/>
      <w:color w:val="953735" w:themeColor="accent2" w:themeShade="BF"/>
    </w:rPr>
  </w:style>
  <w:style w:type="character" w:customStyle="1" w:styleId="29">
    <w:name w:val="Заголовок 8 Знак"/>
    <w:basedOn w:val="16"/>
    <w:link w:val="9"/>
    <w:semiHidden/>
    <w:qFormat/>
    <w:uiPriority w:val="9"/>
    <w:rPr>
      <w:rFonts w:asciiTheme="majorHAnsi" w:hAnsiTheme="majorHAnsi" w:eastAsiaTheme="majorEastAsia" w:cstheme="majorBidi"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0">
    <w:name w:val="Заголовок 9 Знак"/>
    <w:basedOn w:val="16"/>
    <w:link w:val="10"/>
    <w:semiHidden/>
    <w:uiPriority w:val="9"/>
    <w:rPr>
      <w:rFonts w:asciiTheme="majorHAnsi" w:hAnsiTheme="majorHAnsi" w:eastAsiaTheme="majorEastAsia" w:cstheme="majorBidi"/>
      <w:iCs/>
      <w:smallCaps/>
      <w:color w:val="C0504D" w:themeColor="accent2"/>
      <w:sz w:val="20"/>
      <w:szCs w:val="21"/>
      <w14:textFill>
        <w14:solidFill>
          <w14:schemeClr w14:val="accent2"/>
        </w14:solidFill>
      </w14:textFill>
    </w:rPr>
  </w:style>
  <w:style w:type="character" w:customStyle="1" w:styleId="31">
    <w:name w:val="Название Знак"/>
    <w:basedOn w:val="16"/>
    <w:link w:val="13"/>
    <w:qFormat/>
    <w:uiPriority w:val="10"/>
    <w:rPr>
      <w:rFonts w:asciiTheme="majorHAnsi" w:hAnsiTheme="majorHAnsi" w:eastAsiaTheme="majorEastAsia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  <w14:textFill>
        <w14:solidFill>
          <w14:schemeClr w14:val="bg1"/>
        </w14:solidFill>
      </w14:textFill>
    </w:rPr>
  </w:style>
  <w:style w:type="character" w:customStyle="1" w:styleId="32">
    <w:name w:val="Подзаголовок Знак"/>
    <w:basedOn w:val="16"/>
    <w:link w:val="15"/>
    <w:uiPriority w:val="11"/>
    <w:rPr>
      <w:rFonts w:asciiTheme="majorHAnsi" w:hAnsiTheme="majorHAnsi" w:eastAsiaTheme="majorEastAsia" w:cstheme="majorBidi"/>
      <w:iCs/>
      <w:color w:val="1F497D" w:themeColor="text2"/>
      <w:spacing w:val="20"/>
      <w:sz w:val="24"/>
      <w:szCs w:val="24"/>
      <w14:textFill>
        <w14:solidFill>
          <w14:schemeClr w14:val="tx2"/>
        </w14:solidFill>
      </w14:textFill>
    </w:rPr>
  </w:style>
  <w:style w:type="paragraph" w:customStyle="1" w:styleId="33">
    <w:name w:val="No Spacing"/>
    <w:basedOn w:val="1"/>
    <w:link w:val="34"/>
    <w:qFormat/>
    <w:uiPriority w:val="1"/>
    <w:pPr>
      <w:spacing w:after="0" w:line="240" w:lineRule="auto"/>
    </w:pPr>
  </w:style>
  <w:style w:type="character" w:customStyle="1" w:styleId="34">
    <w:name w:val="Без интервала Знак"/>
    <w:basedOn w:val="16"/>
    <w:link w:val="33"/>
    <w:uiPriority w:val="1"/>
    <w:rPr>
      <w:iCs/>
      <w:sz w:val="21"/>
      <w:szCs w:val="21"/>
    </w:rPr>
  </w:style>
  <w:style w:type="paragraph" w:customStyle="1" w:styleId="35">
    <w:name w:val="List Paragraph"/>
    <w:basedOn w:val="1"/>
    <w:qFormat/>
    <w:uiPriority w:val="34"/>
    <w:pPr>
      <w:numPr>
        <w:ilvl w:val="0"/>
        <w:numId w:val="1"/>
      </w:numPr>
      <w:contextualSpacing/>
    </w:pPr>
    <w:rPr>
      <w:sz w:val="22"/>
    </w:rPr>
  </w:style>
  <w:style w:type="paragraph" w:customStyle="1" w:styleId="36">
    <w:name w:val="Quote"/>
    <w:basedOn w:val="1"/>
    <w:next w:val="1"/>
    <w:link w:val="37"/>
    <w:qFormat/>
    <w:uiPriority w:val="29"/>
    <w:rPr>
      <w:b/>
      <w:i/>
      <w:color w:val="C0504D" w:themeColor="accent2"/>
      <w:sz w:val="24"/>
      <w14:textFill>
        <w14:solidFill>
          <w14:schemeClr w14:val="accent2"/>
        </w14:solidFill>
      </w14:textFill>
    </w:rPr>
  </w:style>
  <w:style w:type="character" w:customStyle="1" w:styleId="37">
    <w:name w:val="Цитата 2 Знак"/>
    <w:basedOn w:val="16"/>
    <w:link w:val="36"/>
    <w:uiPriority w:val="29"/>
    <w:rPr>
      <w:b/>
      <w:i/>
      <w:iCs/>
      <w:color w:val="C0504D" w:themeColor="accent2"/>
      <w:sz w:val="24"/>
      <w:szCs w:val="21"/>
      <w14:textFill>
        <w14:solidFill>
          <w14:schemeClr w14:val="accent2"/>
        </w14:solidFill>
      </w14:textFill>
    </w:rPr>
  </w:style>
  <w:style w:type="paragraph" w:customStyle="1" w:styleId="38">
    <w:name w:val="Intense Quote"/>
    <w:basedOn w:val="1"/>
    <w:next w:val="1"/>
    <w:link w:val="39"/>
    <w:qFormat/>
    <w:uiPriority w:val="30"/>
    <w:pPr>
      <w:pBdr>
        <w:top w:val="dotted" w:color="C0504D" w:themeColor="accent2" w:sz="8" w:space="10"/>
        <w:bottom w:val="dotted" w:color="C0504D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i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39">
    <w:name w:val="Выделенная цитата Знак"/>
    <w:basedOn w:val="16"/>
    <w:link w:val="38"/>
    <w:uiPriority w:val="30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40">
    <w:name w:val="Subtle Emphasis"/>
    <w:qFormat/>
    <w:uiPriority w:val="19"/>
    <w:rPr>
      <w:rFonts w:asciiTheme="majorHAnsi" w:hAnsiTheme="majorHAnsi" w:eastAsiaTheme="majorEastAsia" w:cstheme="majorBidi"/>
      <w:b/>
      <w:i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Intense Emphasis"/>
    <w:qFormat/>
    <w:uiPriority w:val="21"/>
    <w:rPr>
      <w:rFonts w:asciiTheme="majorHAnsi" w:hAnsiTheme="majorHAnsi" w:eastAsiaTheme="majorEastAsia" w:cstheme="majorBidi"/>
      <w:b/>
      <w:bCs/>
      <w:i/>
      <w:iCs/>
      <w:color w:val="FFFFFF" w:themeColor="background1"/>
      <w:bdr w:val="single" w:color="C0504D" w:themeColor="accent2" w:sz="18" w:space="0"/>
      <w:shd w:val="clear" w:color="auto" w:fill="C0504D" w:themeFill="accent2"/>
      <w:vertAlign w:val="baseline"/>
      <w14:textFill>
        <w14:solidFill>
          <w14:schemeClr w14:val="bg1"/>
        </w14:solidFill>
      </w14:textFill>
    </w:rPr>
  </w:style>
  <w:style w:type="character" w:customStyle="1" w:styleId="42">
    <w:name w:val="Subtle Reference"/>
    <w:qFormat/>
    <w:uiPriority w:val="31"/>
    <w:rPr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43">
    <w:name w:val="Intense Reference"/>
    <w:qFormat/>
    <w:uiPriority w:val="32"/>
    <w:rPr>
      <w:b/>
      <w:bCs/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44">
    <w:name w:val="Book Title"/>
    <w:qFormat/>
    <w:uiPriority w:val="33"/>
    <w:rPr>
      <w:rFonts w:asciiTheme="majorHAnsi" w:hAnsiTheme="majorHAnsi" w:eastAsiaTheme="majorEastAsia" w:cstheme="majorBidi"/>
      <w:b/>
      <w:bCs/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customStyle="1" w:styleId="45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46">
    <w:name w:val="Нижний колонтитул Знак"/>
    <w:basedOn w:val="16"/>
    <w:link w:val="14"/>
    <w:semiHidden/>
    <w:qFormat/>
    <w:uiPriority w:val="99"/>
    <w:rPr>
      <w:iCs/>
      <w:sz w:val="21"/>
      <w:szCs w:val="21"/>
    </w:rPr>
  </w:style>
  <w:style w:type="table" w:customStyle="1" w:styleId="47">
    <w:name w:val="Сетка таблицы1"/>
    <w:basedOn w:val="20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8">
    <w:name w:val="Текст выноски Знак"/>
    <w:basedOn w:val="16"/>
    <w:link w:val="11"/>
    <w:semiHidden/>
    <w:qFormat/>
    <w:uiPriority w:val="99"/>
    <w:rPr>
      <w:rFonts w:ascii="Tahoma" w:hAnsi="Tahoma" w:cs="Tahoma"/>
      <w:i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3852</Words>
  <Characters>21962</Characters>
  <Lines>183</Lines>
  <Paragraphs>51</Paragraphs>
  <TotalTime>0</TotalTime>
  <ScaleCrop>false</ScaleCrop>
  <LinksUpToDate>false</LinksUpToDate>
  <CharactersWithSpaces>25763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2017-11-20T13:31:00Z</dcterms:created>
  <dc:creator>StepanenkoNP</dc:creator>
  <cp:lastModifiedBy>runti</cp:lastModifiedBy>
  <cp:lastPrinted>2017-12-14T08:42:00Z</cp:lastPrinted>
  <dcterms:modified xsi:type="dcterms:W3CDTF">2017-12-19T08:47:25Z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