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-14" w:leader="none"/>
        </w:tabs>
        <w:snapToGrid w:val="false"/>
        <w:spacing w:lineRule="auto" w:line="276" w:before="0" w:after="0"/>
        <w:ind w:left="-14" w:right="140" w:firstLine="14"/>
        <w:jc w:val="right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 xml:space="preserve">   </w:t>
      </w:r>
    </w:p>
    <w:p>
      <w:pPr>
        <w:pStyle w:val="Normal"/>
        <w:tabs>
          <w:tab w:val="left" w:pos="-14" w:leader="none"/>
        </w:tabs>
        <w:snapToGrid w:val="false"/>
        <w:spacing w:lineRule="auto" w:line="276" w:before="0" w:after="0"/>
        <w:ind w:left="-14" w:right="140" w:firstLine="14"/>
        <w:jc w:val="right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>Утверждена</w:t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 xml:space="preserve">Постановлением Клинцовской  </w:t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 xml:space="preserve">городской администрации </w:t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>от 25.12.2018  № 2645</w:t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pacing w:lineRule="auto" w:line="276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>ВЕДОМСТВЕННАЯ  ЦЕЛЕВАЯ  ПРОГРАММА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 w:val="false"/>
          <w:sz w:val="28"/>
          <w:szCs w:val="28"/>
          <w:lang w:eastAsia="ru-RU"/>
        </w:rPr>
        <w:t xml:space="preserve">«РАЗВИТИЕ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 w:val="false"/>
          <w:sz w:val="28"/>
          <w:szCs w:val="28"/>
          <w:lang w:eastAsia="ru-RU"/>
        </w:rPr>
        <w:t>МАЛОГО И СРЕДНЕГО ПРЕДПРИНИМАТЕЛЬСТВА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 w:val="false"/>
          <w:sz w:val="28"/>
          <w:szCs w:val="28"/>
          <w:lang w:eastAsia="ru-RU"/>
        </w:rPr>
        <w:t>НА ТЕРРИТОРИИ ГОРОДСКОГО ОКРУГА «ГОРОД КЛИНЦЫ БРЯНСКОЙ ОБЛАСТИ» (2018 - 2021 гг.)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 w:val="false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7"/>
          <w:szCs w:val="27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 w:val="false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7"/>
          <w:szCs w:val="27"/>
          <w:lang w:eastAsia="ru-RU"/>
        </w:rPr>
        <w:t>ведомственной целевой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Клинцы Брянской области» (2018-2021 годы)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tbl>
      <w:tblPr>
        <w:tblW w:w="9497" w:type="dxa"/>
        <w:jc w:val="left"/>
        <w:tblInd w:w="21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61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3638"/>
        <w:gridCol w:w="5858"/>
      </w:tblGrid>
      <w:tr>
        <w:trPr>
          <w:trHeight w:val="48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Ответственный исполнитель  </w:t>
              <w:br/>
              <w:t xml:space="preserve">ведомственной целевой      </w:t>
              <w:br/>
              <w:t xml:space="preserve">программы                  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>
          <w:trHeight w:val="48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>
        <w:trPr>
          <w:trHeight w:val="48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Клинцы Брянской области» (2015-2021 годы)</w:t>
            </w:r>
          </w:p>
        </w:tc>
      </w:tr>
      <w:tr>
        <w:trPr>
          <w:trHeight w:val="48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«Выполнение функций Клинцовской городской администрации» (2015-2021 годы)</w:t>
            </w:r>
          </w:p>
        </w:tc>
      </w:tr>
      <w:tr>
        <w:trPr>
          <w:trHeight w:val="48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Цель программы: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Создание благоприятных условий для обеспечения устойчивого развития предпринимательства в городском округе, повышение социально-экономической эффективности его деятельности</w:t>
            </w:r>
          </w:p>
          <w:p>
            <w:pPr>
              <w:pStyle w:val="Normal"/>
              <w:tabs>
                <w:tab w:val="left" w:pos="-14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Задачи программы: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>
        <w:trPr>
          <w:trHeight w:val="618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  <w:tr>
        <w:trPr>
          <w:trHeight w:val="48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Сроки реализации   </w:t>
              <w:br/>
              <w:t xml:space="preserve">ведомственной целевой      </w:t>
              <w:br/>
              <w:t xml:space="preserve">программы                  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годы</w:t>
            </w:r>
          </w:p>
        </w:tc>
      </w:tr>
      <w:tr>
        <w:trPr>
          <w:trHeight w:val="108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Объемы и источники финансирования               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  <w:br/>
              <w:t xml:space="preserve">реализацию подпрограммы, - </w:t>
            </w: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 xml:space="preserve">2 891 799,00 рублей,  </w:t>
            </w: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br/>
              <w:t xml:space="preserve">в том числе:                     </w:t>
              <w:br/>
              <w:t>- средства федерального бюджета – 0 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областного бюджета – 2 177 209,0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бюджета городского округа – 714 590,00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2018  – 2 291 799,00 руб.,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-средства областного бюджета – 2 177 209,0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бюджета городского округа – 114 590,00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2019 –  200 000 руб.,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бюджета городского округа -  200 000 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2020 –  200 000 руб.,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бюджета городского округа -  200 000 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2021 –  200 000  руб.,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средства бюджета городского округа -  200 000 руб.;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>
        <w:trPr>
          <w:trHeight w:val="1560" w:hRule="atLeast"/>
          <w:cantSplit w:val="true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Ожидаемые конечные результаты       </w:t>
              <w:br/>
              <w:t xml:space="preserve">реализации ведомственной   </w:t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pStyle w:val="Normal"/>
              <w:tabs>
                <w:tab w:val="left" w:pos="-14" w:leader="none"/>
                <w:tab w:val="center" w:pos="3343" w:leader="none"/>
              </w:tabs>
              <w:snapToGrid w:val="false"/>
              <w:spacing w:lineRule="auto" w:line="240" w:before="0" w:after="0"/>
              <w:ind w:left="-14" w:hanging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Обоснование необходимости реализации ведомственной целевой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Развитие малых и средних предприятий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увеличению налоговых поступлений в бюджеты всех уровней, в том числе и в местный.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color w:val="000000"/>
          <w:sz w:val="24"/>
          <w:szCs w:val="24"/>
          <w:lang w:eastAsia="ru-RU"/>
        </w:rPr>
        <w:t>Малое и среднее предпринимательство – специфический сектор экономики, создающий материальные блага при минимальном привлечении материальных, энергетических, природных ресурсов и максимальном использовании человеческого капитала. Развитие этого сектора является гарантом экономической и социальной стабильности муниципального образования, экономика легче приспосабливается к изменениям рынка, эффективнее внедряются инновации, меняется структура общества, растет средний класс.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Вместе с тем, сектору малого предпринимательства свойственны относительно низкая доходность, высокая интенсивность труда, сложности с внедрением новых технологий, ограниченность собственных ресурсов и повышенный риск в конкурентной борьбе.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Малый и средний бизнес присутствует во многих отраслях экономики городского округа «город Клинцы Брянской области», в деятельность малых и средних предприятий вовлечены все социальные группы населения.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Предприятия малого и среднего бизнеса доминируют в таких секторах экономики, как торговля, общественное питание, сфера предоставления услуг. В промышленности, строительстве, сельском хозяйстве, на транспорте доля малых предприятий еще незначительна, мало число инновационных предприятий.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Повышаются темпы развития обрабатывающего производства. Индивидуальные предприниматели и предприятия малого бизнеса выпускают высококачественную мебель, тротуарную плитку, велосипеды, мягкую игрушку, обувь, трикотажные изделия, оказывают полиграфические услуги, производят продукты питания: хлебобулочные изделия, копчение и соление  рыботоваров, выпускают безалкогольные напитки.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городском округе по состоянию на 01.01.2017 г. действовало 322 предприятия малого и среднего бизнеса. Средняя численность работников малых и средних предприятий составила 3940 человек. Ежегодно увеличивается число субъектов малого и среднего предпринимательства.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Обеспечение условий для развития предпринимательской деятельности является одним из приоритетных направлений стратегии социально-экономического развития городского округа «город Клинцы Брянской области».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Поскольку основным сдерживающим фактором развития малого бизнеса в городском округе «город Клинцы Брянской области» является необеспеченность субъектов малого и среднего бизнеса финансовыми ресурсами для становления и развития собственного дела, то для достижения наибольших результатов при выполнении комплекса мероприятий по поддержке и развитию малого бизнеса города Клинцовской городской администрацией в 2014 году была разработана и утверждена ведомственная целевая программа «Развитие малого и среднего предпринимательства в городе Клинцы» (2015-2017гг).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соответствии с программой в 2015 году реализовано мероприятие «Предоставление на конкурсной основе грантов начинающим субъектам малого предпринимательства» в размере 500 000,0 руб., в том числе 425 000,0 руб. из средств областного бюджета и 5% софинансирования расходов в размере 25 000,0 руб. за счет средств бюджета городского округа. Поддержку в виде гранта получил 1 индивидуальный предприниматель.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Финансовое обеспечение программы в 2016 году по мероприятию «Предоставление на конкурсной основе грантов начинающим субъектам малого предпринимательства» в размере 1 500 000,0 руб., осуществлено за счет средств областного бюджета в сумме 1 425 000,0 руб. и средств городского бюджета в размере 75 000,0 руб.</w:t>
      </w:r>
      <w:r>
        <w:rPr/>
        <w:t xml:space="preserve">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рамках реализации программы в 2016 году грантовую поддержку по 500 000 руб. получили 3 индивидуальных предпринимателя.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2017 году реализовано мероприятие  программы «Предоставление на конкурсной основе субсидии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 на сумму 20 254 642,23 руб., в том числе 19 241 910,12 руб. из средств областного бюджета и 5% софинансирования расходов в сумме 1 012 732,11 руб. за счет средств бюджета городского округа. Поддержку в виде субсидии получили 2 предприятия.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Финансовая поддержка субъектов малого и среднего предпринимательства осуществлялась Клинцовской городской администрацией в соответствии с перечнем мероприятий, видами, условиями и порядком предоставления финансовой поддержки, которые определены Программой, а также нормативными правовыми актами Российской Федерации, Брянской области и Клинцовской городской администрации.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Так же мероприятие программы «Финансовая поддержка начинающим субъектам малого и среднего предпринимательства в виде субсидий на развитие собственного дела» за счет средств областного бюджета в 2015 году – в размере 60 000,0 руб., в 2016 году – в размере 60 800,0 руб., реализовано ГКУ «Центр занятости населения города Клинцы».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Общие затраты на реализацию ведомственной целевой программы «Развитие малого и среднего предпринимательства в городе Клинцы» на 2015–2017 годы составили 22 399 442,23 рублей, в том числе: средства областного бюджета – 21 262 710,12 руб.; средства бюджета городского округа –1 112 732,11 руб.; прочие источники – 24 000,00 руб.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Несмотря на наметившиеся в последние годы положительные тенденции в улучшении предпринимательского климата, не в полной мере решены препятствующие развитию малого и среднего бизнеса проблемы, в числе которых можно отметить: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трудности в привлечении финансовых ресурсов на развитие бизнеса, особенно на стадии становления бизнеса;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недостаток собственных ресурсов у субъектов малого и среднего предпринимательства и затрудненный доступ к источникам финансирования;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трудности с получением банковских кредитов и высокие процентные ставки по ним;</w:t>
      </w:r>
    </w:p>
    <w:p>
      <w:pPr>
        <w:pStyle w:val="Normal"/>
        <w:numPr>
          <w:ilvl w:val="0"/>
          <w:numId w:val="2"/>
        </w:numPr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недостаток квалифицированных кадров рабочих профессий, менеджеров, невысокий уровень оплаты труда.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Для увеличения объемов финансирования мероприятий по развитию малого и среднего предпринимательства предполагается дальнейшее участие городского округа «город Клинцы Брянской области» в конкурсах, проводимых Департаментом экономического развития Брянской области, на получение средств федерального бюджета и бюджета Брянской области, выделяемых на оказание государственной поддержки малого и среднего предпринимательства.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overflowPunct w:val="false"/>
        <w:spacing w:lineRule="auto" w:line="240" w:before="0" w:after="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Цели и задачи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Целью программы является создание благоприятных условий для обеспечения устойчивого развития предпринимательства на территории городского округа «город Клинцы Брянской области», повышение социально-экономической эффективности его деятельности.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Задачи программы определяются ее конечной целью и заключаются в: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-создании благоприятных условий для устойчивой деятельности малых предприятий и преодолении административных барьеров на пути развития малого предпринимательства в городе;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-повышении эффективности деятельности органов местного самоуправления в вопросах поддержки малого предпринимательства, ориентации органов власти на более тесное сотрудничество с негосударственными структурами поддержки малого бизнеса;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-развитии информационного обеспечения как одного из приоритетных направлений поддержки малого бизнеса;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-обеспечении развития инфраструктуры поддержки малого предпринимательства;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-обеспечении инвестиционной и имущественной поддержки субъектов малого предпринимательства;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-качественном улучшении условий для развития предпринимательской деятельности и здоровой конкурентной среды;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-увеличении количества малых предприятий, занятых в производственной сфере;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-увеличении числа рабочих мест;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-увеличении объема выручки от реализации малыми предприятиями товаров, работ и услуг;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-росте инвестиционной активности субъектов малого предпринимательства;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-увеличении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округа.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-организации конференций, семинаров, круглых столов;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-проведении ярмарок-вакансий рабочих мест;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-организации выставочно-ярмарочной деятельности.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overflowPunct w:val="false"/>
        <w:spacing w:lineRule="auto" w:line="240" w:before="0" w:after="0"/>
        <w:ind w:firstLine="180"/>
        <w:jc w:val="center"/>
        <w:textAlignment w:val="baseline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Описание ожидаемых результатов</w:t>
      </w:r>
    </w:p>
    <w:p>
      <w:pPr>
        <w:pStyle w:val="Normal"/>
        <w:spacing w:lineRule="auto" w:line="240" w:before="0" w:after="0"/>
        <w:ind w:firstLine="180"/>
        <w:jc w:val="center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реализации программы и целевые индикаторы</w:t>
      </w:r>
    </w:p>
    <w:p>
      <w:pPr>
        <w:pStyle w:val="Normal"/>
        <w:spacing w:lineRule="auto" w:line="240" w:before="0" w:after="0"/>
        <w:ind w:firstLine="180"/>
        <w:jc w:val="center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Координация выполнения программных мероприятий включает в себя проведение ежегодного мониторинга развития предпринимательской деятельности в городском округе  и влияния программных мероприятий на ее развитие, проведение оценки заявленных показателей и фактически достигнутых результатов реализации программных мероприятий.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результате реализации мероприятий программы в 2018-2021 гг. будут достигнуты следующие социально-экономические показатели, характеризующие экономическую,  социальную эффективность развития малого и среднего предпринимательства: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Показатели социально-экономической эффективности: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ежегодное увеличение количества субъектов малого и среднего предпринимательства на 1,2%;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ежегодное увеличение количества создаваемых рабочих мест на предприятиях  субъектов  малого и среднего  предпринимательства на 30 человек;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tbl>
      <w:tblPr>
        <w:tblStyle w:val="11"/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223"/>
        <w:gridCol w:w="1340"/>
        <w:gridCol w:w="1067"/>
        <w:gridCol w:w="992"/>
        <w:gridCol w:w="992"/>
        <w:gridCol w:w="991"/>
      </w:tblGrid>
      <w:tr>
        <w:trPr/>
        <w:tc>
          <w:tcPr>
            <w:tcW w:w="4223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80"/>
              <w:jc w:val="both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Целевые индикаторы</w:t>
            </w:r>
          </w:p>
        </w:tc>
        <w:tc>
          <w:tcPr>
            <w:tcW w:w="134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80"/>
              <w:jc w:val="both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Единицы измерения</w:t>
            </w:r>
          </w:p>
        </w:tc>
        <w:tc>
          <w:tcPr>
            <w:tcW w:w="4042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года</w:t>
            </w:r>
          </w:p>
        </w:tc>
      </w:tr>
      <w:tr>
        <w:trPr/>
        <w:tc>
          <w:tcPr>
            <w:tcW w:w="42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both"/>
              <w:rPr>
                <w:rFonts w:ascii="Cambria" w:hAnsi="Cambria" w:eastAsia="Times New Roman" w:cs="Times New Roman" w:asciiTheme="majorHAnsi" w:hAnsiTheme="majorHAnsi"/>
                <w:iCs/>
                <w:color w:val="FFFFFF"/>
                <w:sz w:val="28"/>
                <w:szCs w:val="38"/>
                <w:highlight w:val="darkBlue"/>
                <w:lang w:eastAsia="ru-RU"/>
              </w:rPr>
            </w:pPr>
            <w:r>
              <w:rPr>
                <w:rFonts w:eastAsia="Times New Roman" w:cs="Times New Roman" w:ascii="Cambria" w:hAnsi="Cambria"/>
                <w:iCs/>
                <w:color w:val="FFFFFF"/>
                <w:sz w:val="28"/>
                <w:szCs w:val="38"/>
                <w:shd w:fill="4F81BD" w:val="clear"/>
                <w:lang w:eastAsia="ru-RU"/>
              </w:rPr>
            </w:r>
          </w:p>
        </w:tc>
        <w:tc>
          <w:tcPr>
            <w:tcW w:w="134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both"/>
              <w:rPr>
                <w:rFonts w:ascii="Cambria" w:hAnsi="Cambria" w:eastAsia="Times New Roman" w:cs="Times New Roman" w:asciiTheme="majorHAnsi" w:hAnsiTheme="majorHAnsi"/>
                <w:iCs/>
                <w:color w:val="FFFFFF"/>
                <w:sz w:val="28"/>
                <w:szCs w:val="38"/>
                <w:highlight w:val="darkBlue"/>
                <w:lang w:eastAsia="ru-RU"/>
              </w:rPr>
            </w:pPr>
            <w:r>
              <w:rPr>
                <w:rFonts w:eastAsia="Times New Roman" w:cs="Times New Roman" w:ascii="Cambria" w:hAnsi="Cambria"/>
                <w:iCs/>
                <w:color w:val="FFFFFF"/>
                <w:sz w:val="28"/>
                <w:szCs w:val="38"/>
                <w:shd w:fill="4F81BD" w:val="clear"/>
                <w:lang w:eastAsia="ru-RU"/>
              </w:rPr>
            </w:r>
          </w:p>
        </w:tc>
        <w:tc>
          <w:tcPr>
            <w:tcW w:w="10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2018 год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2019 год</w:t>
            </w:r>
          </w:p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rFonts w:ascii="Times New Roman" w:hAnsi="Times New Roman" w:eastAsia="Times New Roman" w:cs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shd w:fill="4F81BD" w:val="clear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2020 год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2021 год</w:t>
            </w:r>
          </w:p>
        </w:tc>
      </w:tr>
      <w:tr>
        <w:trPr/>
        <w:tc>
          <w:tcPr>
            <w:tcW w:w="42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both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Темп роста субъектов малого и среднего предпринимательства</w:t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%</w:t>
            </w:r>
          </w:p>
        </w:tc>
        <w:tc>
          <w:tcPr>
            <w:tcW w:w="10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1,2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1,2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1,2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1,2</w:t>
            </w:r>
          </w:p>
        </w:tc>
      </w:tr>
      <w:tr>
        <w:trPr/>
        <w:tc>
          <w:tcPr>
            <w:tcW w:w="42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both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Увеличение количества создаваемых рабочих мест на предприятиях  субъектов  малого и среднего  предпринимательства</w:t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человек</w:t>
            </w:r>
          </w:p>
        </w:tc>
        <w:tc>
          <w:tcPr>
            <w:tcW w:w="10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30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30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30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80"/>
              <w:jc w:val="center"/>
              <w:rPr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 w:val="false"/>
                <w:color w:val="FFFFFF"/>
                <w:sz w:val="24"/>
                <w:szCs w:val="24"/>
                <w:highlight w:val="darkBlue"/>
                <w:lang w:eastAsia="ru-RU"/>
              </w:rPr>
              <w:t>30</w:t>
            </w:r>
          </w:p>
        </w:tc>
      </w:tr>
    </w:tbl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overflowPunct w:val="false"/>
        <w:spacing w:lineRule="auto" w:line="240" w:before="0" w:after="0"/>
        <w:ind w:firstLine="180"/>
        <w:jc w:val="center"/>
        <w:textAlignment w:val="baseline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Перечень  и описание программных  мероприятий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Система мероприятий программы направлена на создание благоприятных условий для обеспечения устойчивого развития предпринимательства на территории городского округа «город Клинцы Брянской области» и представлена разделами: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Информационная поддержка субъектов малого предпринимательства;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Консультационная поддержка субъектов малого предпринимательства;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Поддержка в области подготовки, переподготовки и повышения квалификации кадров субъектов малого предпринимательства;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- Содействие росту конкурентоспособности и продвижению продукции субъектов малого и среднего предпринимательства; 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Предоставление субсидий субъектам малого и среднего предпринимательства.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Конкретные мероприятия программы, представлены в приложении № 1 к программе.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overflowPunct w:val="false"/>
        <w:spacing w:lineRule="auto" w:line="240" w:before="0" w:after="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Сроки реализации программы</w:t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left="1080" w:hanging="0"/>
        <w:textAlignment w:val="baseline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Сроки реализации программы: 2018 - 2021 годы.</w:t>
      </w:r>
    </w:p>
    <w:p>
      <w:pPr>
        <w:pStyle w:val="Normal"/>
        <w:spacing w:lineRule="auto" w:line="240" w:before="0" w:after="0"/>
        <w:ind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overflowPunct w:val="false"/>
        <w:spacing w:lineRule="auto" w:line="240" w:before="0" w:after="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Прогноз конечных результатов  ведомственной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center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целевой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Реализация программы позволит обеспечить в 2018 - 2021 годах создание более благоприятных условий для развития предпринимательства на территории городского округа «город Клинцы Брянской области».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u w:val="single"/>
          <w:lang w:eastAsia="ru-RU"/>
        </w:rPr>
        <w:t>Реализация мероприятий программы позволит: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-наладить информационную поддержку субъектов малого предпринимательства;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-расширить возможности использования муниципального имущества и предприятий;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-создать более благоприятные условия для повышения деловой активности субъектов малого предпринимательства;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-предоставить возможности для трудоустройства гражданам, ищущим работу в области малого бизнеса;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-оказать поддержку субъектам малого предпринимательства, осуществляющим внешнеэкономическую деятельность.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u w:val="single"/>
          <w:lang w:eastAsia="ru-RU"/>
        </w:rPr>
        <w:t>Эффективность реализации программы характеризуется следующими показателями: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-ежегодное увеличение количества субъектов малого предпринимательства не менее чем на 1,2 процента;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-ежегодное увеличение численности занятых в сфере малого предпринимательства не менее чем на 30 человек.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overflowPunct w:val="false"/>
        <w:spacing w:lineRule="auto" w:line="240" w:before="0" w:after="0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4"/>
          <w:szCs w:val="24"/>
          <w:u w:val="single"/>
          <w:lang w:eastAsia="ru-RU"/>
        </w:rPr>
        <w:t xml:space="preserve">Общие затраты на реализацию программы составят  2 891 799,00 рублей,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федерального бюджета – 0 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областного бюджета – 2 177 209,0 руб.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бюджета городского округа – 714 590,00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прочие источники – 0 руб.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u w:val="single"/>
          <w:lang w:eastAsia="ru-RU"/>
        </w:rPr>
        <w:t>Финансирование программы по годам.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4"/>
          <w:szCs w:val="24"/>
          <w:lang w:eastAsia="ru-RU"/>
        </w:rPr>
        <w:t>2018  – 2 291 799,00 руб.,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федерального бюджета - 0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-средства областного бюджета – 2 177 209,0 руб.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бюджета городского округа – 114 590,00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прочие источники – 0 руб.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4"/>
          <w:szCs w:val="24"/>
          <w:lang w:eastAsia="ru-RU"/>
        </w:rPr>
        <w:t>2019 –  200 000 руб.,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федерального бюджета - 0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областного бюджета -  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бюджета городского округа -  200 000 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прочие источники – 0 руб.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4"/>
          <w:szCs w:val="24"/>
          <w:lang w:eastAsia="ru-RU"/>
        </w:rPr>
        <w:t>2020 –  200 000 руб.,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федерального бюджета - 0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областного бюджета -  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бюджета городского округа -  200 000 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прочие источники – 0 руб.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/>
          <w:iCs w:val="false"/>
          <w:sz w:val="24"/>
          <w:szCs w:val="24"/>
          <w:lang w:eastAsia="ru-RU"/>
        </w:rPr>
        <w:t>2021 –  200 000  руб.,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в том числе: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федерального бюджета - 0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областного бюджета -   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средства бюджета городского округа -  200 000 руб.;</w:t>
      </w:r>
    </w:p>
    <w:p>
      <w:pPr>
        <w:pStyle w:val="Normal"/>
        <w:spacing w:lineRule="auto" w:line="240" w:before="0" w:after="0"/>
        <w:ind w:left="110" w:firstLine="180"/>
        <w:jc w:val="both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- прочие источники – 0 руб.    - прочие источники – 0 руб.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1"/>
        <w:rPr>
          <w:rFonts w:ascii="Arial" w:hAnsi="Arial" w:eastAsia="Times New Roman" w:cs="Arial"/>
          <w:iCs w:val="false"/>
          <w:sz w:val="20"/>
          <w:szCs w:val="20"/>
          <w:lang w:eastAsia="ru-RU"/>
        </w:rPr>
      </w:pPr>
      <w:r>
        <w:rPr>
          <w:rFonts w:eastAsia="Times New Roman" w:cs="Arial" w:ascii="Arial" w:hAnsi="Arial"/>
          <w:iCs w:val="false"/>
          <w:sz w:val="20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center"/>
        <w:outlineLvl w:val="1"/>
        <w:rPr>
          <w:rFonts w:ascii="Times New Roman" w:hAnsi="Times New Roman" w:eastAsia="Times New Roman" w:cs="Times New Roman"/>
          <w:b/>
          <w:b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val="en-US" w:eastAsia="ru-RU"/>
        </w:rPr>
        <w:t>VIII</w:t>
      </w:r>
      <w:r>
        <w:rPr>
          <w:rFonts w:eastAsia="Times New Roman" w:cs="Times New Roman" w:ascii="Times New Roman" w:hAnsi="Times New Roman"/>
          <w:b/>
          <w:iCs w:val="false"/>
          <w:sz w:val="28"/>
          <w:szCs w:val="28"/>
          <w:lang w:eastAsia="ru-RU"/>
        </w:rPr>
        <w:t>. Система управления реализацией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b/>
          <w:b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Cs w:val="false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Текущее управление реализацией программы осуществляется отделом экономического анализа, прогнозирования, торговли и потребительского рынка Клинцовской городской администрации.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18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Финансирование выполнения мероприятий за счет средств бюджета городского округа осуществляется финансовым управлением Клинцовской городской администрации.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Контроль осуществляется посредствам анализа предоставляемой отчетности о результатах реализации мероприятий программы.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Ежеквартально отдел экономического анализа, прогнозирования, торговли и потребительского рынка Клинцовской городской администрации представляет в финансовое управление Клинцовской городской администрации в срок до 15 числа месяца, следующего за отчетным, отчет о ходе выполнения реализации программы.</w:t>
      </w:r>
    </w:p>
    <w:p>
      <w:pPr>
        <w:sectPr>
          <w:footerReference w:type="default" r:id="rId2"/>
          <w:type w:val="nextPage"/>
          <w:pgSz w:w="11906" w:h="16838"/>
          <w:pgMar w:left="1701" w:right="709" w:header="0" w:top="567" w:footer="709" w:bottom="7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Ежегодно, в срок до 1 марта года, следующего за отчетным, представляется отчет о ходе реализации мероприятий программы и оценка эффективности реализации программы.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>Приложение № 1</w:t>
      </w:r>
    </w:p>
    <w:tbl>
      <w:tblPr>
        <w:tblW w:w="5103" w:type="dxa"/>
        <w:jc w:val="left"/>
        <w:tblInd w:w="10031" w:type="dxa"/>
        <w:tblBorders/>
        <w:tblCellMar>
          <w:top w:w="0" w:type="dxa"/>
          <w:left w:w="11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103"/>
      </w:tblGrid>
      <w:tr>
        <w:trPr>
          <w:trHeight w:val="1140" w:hRule="atLeast"/>
        </w:trPr>
        <w:tc>
          <w:tcPr>
            <w:tcW w:w="5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к ведомственной целевой программе «Развитие малого и среднего предпринимательства на территории городского округа «город Клинцы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 w:val="false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Брянской области» (2018 – 2021 гг.)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 w:val="false"/>
          <w:sz w:val="24"/>
          <w:szCs w:val="24"/>
          <w:lang w:eastAsia="ru-RU"/>
        </w:rPr>
        <w:t xml:space="preserve">МЕРОПРИЯТИЯ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 w:val="false"/>
          <w:sz w:val="24"/>
          <w:szCs w:val="24"/>
          <w:lang w:eastAsia="ru-RU"/>
        </w:rPr>
        <w:t>ведомственной целевой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 w:val="false"/>
          <w:sz w:val="24"/>
          <w:szCs w:val="24"/>
          <w:lang w:eastAsia="ru-RU"/>
        </w:rPr>
        <w:t>«РАЗВИТИЕ МАЛОГО И СРЕДНЕГО ПРЕДПРИНИМАТЕЛЬСТВА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 w:val="false"/>
          <w:sz w:val="24"/>
          <w:szCs w:val="24"/>
          <w:lang w:eastAsia="ru-RU"/>
        </w:rPr>
        <w:t>НА ТЕРРИТОРИИ ГОРОДСКОГО ОКРУГА «ГОРОД КЛИНЦЫ БРЯНСКОЙ ОБЛАСТИ» (2018 - 2021 гг.)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 w:val="false"/>
          <w:sz w:val="24"/>
          <w:szCs w:val="24"/>
          <w:lang w:eastAsia="ru-RU"/>
        </w:rPr>
      </w:r>
    </w:p>
    <w:tbl>
      <w:tblPr>
        <w:tblpPr w:bottomFromText="0" w:horzAnchor="text" w:leftFromText="180" w:rightFromText="180" w:tblpX="0" w:tblpY="1" w:topFromText="0" w:vertAnchor="text"/>
        <w:tblW w:w="15134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9"/>
        <w:gridCol w:w="3335"/>
        <w:gridCol w:w="851"/>
        <w:gridCol w:w="1133"/>
        <w:gridCol w:w="1134"/>
        <w:gridCol w:w="1133"/>
        <w:gridCol w:w="993"/>
        <w:gridCol w:w="143"/>
        <w:gridCol w:w="1133"/>
        <w:gridCol w:w="2"/>
        <w:gridCol w:w="1699"/>
        <w:gridCol w:w="2"/>
        <w:gridCol w:w="2975"/>
      </w:tblGrid>
      <w:tr>
        <w:trPr>
          <w:trHeight w:val="820" w:hRule="atLeast"/>
        </w:trPr>
        <w:tc>
          <w:tcPr>
            <w:tcW w:w="5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56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Объем финансирования, рублей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Ответственные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5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В том числе по годам: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299" w:hRule="atLeast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Проведение мониторинга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малого и среднего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предпринимательства</w:t>
            </w:r>
            <w:r>
              <w:rPr>
                <w:rFonts w:eastAsia="Times New Roman" w:cs="Courier New" w:ascii="Courier New" w:hAnsi="Courier New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и причин, препятствующих его развитию на территории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</w:tbl>
    <w:tbl>
      <w:tblPr>
        <w:tblW w:w="1513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9"/>
        <w:gridCol w:w="3335"/>
        <w:gridCol w:w="851"/>
        <w:gridCol w:w="1133"/>
        <w:gridCol w:w="1134"/>
        <w:gridCol w:w="1133"/>
        <w:gridCol w:w="1134"/>
        <w:gridCol w:w="1134"/>
        <w:gridCol w:w="1701"/>
        <w:gridCol w:w="2978"/>
      </w:tblGrid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Оказание помощи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bottomFromText="0" w:horzAnchor="text" w:leftFromText="180" w:rightFromText="180" w:tblpX="0" w:tblpY="1" w:topFromText="0" w:vertAnchor="text"/>
        <w:tblW w:w="15134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9"/>
        <w:gridCol w:w="48"/>
        <w:gridCol w:w="3289"/>
        <w:gridCol w:w="1"/>
        <w:gridCol w:w="849"/>
        <w:gridCol w:w="2"/>
        <w:gridCol w:w="1132"/>
        <w:gridCol w:w="1"/>
        <w:gridCol w:w="1132"/>
        <w:gridCol w:w="2"/>
        <w:gridCol w:w="1132"/>
        <w:gridCol w:w="2"/>
        <w:gridCol w:w="1132"/>
        <w:gridCol w:w="1"/>
        <w:gridCol w:w="1132"/>
        <w:gridCol w:w="2"/>
        <w:gridCol w:w="1699"/>
        <w:gridCol w:w="2"/>
        <w:gridCol w:w="2975"/>
      </w:tblGrid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>
        <w:trPr>
          <w:trHeight w:val="1689" w:hRule="atLeast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Областной бюджет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363" w:hRule="atLeast"/>
        </w:trPr>
        <w:tc>
          <w:tcPr>
            <w:tcW w:w="6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271" w:hRule="atLeast"/>
        </w:trPr>
        <w:tc>
          <w:tcPr>
            <w:tcW w:w="6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>
        <w:trPr>
          <w:trHeight w:val="2397" w:hRule="atLeast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Проведение      </w:t>
              <w:br/>
              <w:t xml:space="preserve">информационных  </w:t>
              <w:br/>
              <w:t>семинаров с предпринимателями</w:t>
              <w:br/>
              <w:t>представителями органов  власти местного само-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управления  по актуальным   </w:t>
              <w:br/>
              <w:t>вопросам поддержки и развития предпринимательства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>
          <w:trHeight w:val="1746" w:hRule="atLeast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Развитие действующей </w:t>
              <w:br/>
              <w:t xml:space="preserve">информационной  </w:t>
              <w:br/>
              <w:t xml:space="preserve">поддержки малого и среднего </w:t>
              <w:br/>
              <w:t>предпринимательства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3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1796" w:hRule="atLeast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</w:tc>
      </w:tr>
    </w:tbl>
    <w:tbl>
      <w:tblPr>
        <w:tblW w:w="1513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9"/>
        <w:gridCol w:w="3335"/>
        <w:gridCol w:w="851"/>
        <w:gridCol w:w="1133"/>
        <w:gridCol w:w="1134"/>
        <w:gridCol w:w="1133"/>
        <w:gridCol w:w="1134"/>
        <w:gridCol w:w="1134"/>
        <w:gridCol w:w="1701"/>
        <w:gridCol w:w="2978"/>
      </w:tblGrid>
      <w:tr>
        <w:trPr>
          <w:trHeight w:val="931" w:hRule="atLeast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3.3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ГКУ «Центр занятости населения»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</w:tr>
    </w:tbl>
    <w:tbl>
      <w:tblPr>
        <w:tblpPr w:bottomFromText="0" w:horzAnchor="text" w:leftFromText="180" w:rightFromText="180" w:tblpX="0" w:tblpY="1" w:topFromText="0" w:vertAnchor="text"/>
        <w:tblW w:w="15134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9"/>
        <w:gridCol w:w="3335"/>
        <w:gridCol w:w="851"/>
        <w:gridCol w:w="1133"/>
        <w:gridCol w:w="1134"/>
        <w:gridCol w:w="1133"/>
        <w:gridCol w:w="1134"/>
        <w:gridCol w:w="1134"/>
        <w:gridCol w:w="1701"/>
        <w:gridCol w:w="2978"/>
      </w:tblGrid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5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53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>
        <w:trPr>
          <w:trHeight w:val="882" w:hRule="atLeast"/>
        </w:trPr>
        <w:tc>
          <w:tcPr>
            <w:tcW w:w="5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2177209,0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2177209,0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Областной  бюджет</w:t>
            </w:r>
          </w:p>
        </w:tc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rPr>
          <w:trHeight w:val="852" w:hRule="atLeast"/>
        </w:trPr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714 590,0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114 590,0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lang w:eastAsia="ru-RU"/>
              </w:rPr>
              <w:t>200 000,0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 w:val="false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29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2891799,0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2291799,0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2891799,0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2291799,0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lang w:eastAsia="ru-RU"/>
              </w:rPr>
              <w:t>200 000,0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 w:val="false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134" w:right="678" w:header="0" w:top="1560" w:footer="720" w:bottom="1276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69c8"/>
    <w:pPr>
      <w:widowControl/>
      <w:bidi w:val="0"/>
      <w:spacing w:lineRule="auto" w:line="288" w:before="0" w:after="200"/>
      <w:jc w:val="left"/>
    </w:pPr>
    <w:rPr>
      <w:rFonts w:ascii="Calibri" w:hAnsi="Calibri" w:eastAsia="Calibri" w:cs="" w:asciiTheme="minorHAnsi" w:cstheme="minorBidi" w:eastAsiaTheme="minorHAnsi" w:hAnsiTheme="minorHAnsi"/>
      <w:iCs/>
      <w:color w:val="00000A"/>
      <w:kern w:val="0"/>
      <w:sz w:val="21"/>
      <w:szCs w:val="21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 w:themeFill="accent1"/>
      <w:spacing w:lineRule="auto" w:line="240"/>
      <w:outlineLvl w:val="0"/>
    </w:pPr>
    <w:rPr>
      <w:rFonts w:ascii="Cambria" w:hAnsi="Cambria" w:asciiTheme="majorHAnsi" w:hAnsiTheme="majorHAnsi"/>
      <w:color w:val="FFFFFF"/>
      <w:sz w:val="28"/>
      <w:szCs w:val="38"/>
    </w:rPr>
  </w:style>
  <w:style w:type="paragraph" w:styleId="2">
    <w:name w:val="Heading 2"/>
    <w:basedOn w:val="Normal"/>
    <w:link w:val="20"/>
    <w:uiPriority w:val="9"/>
    <w:semiHidden/>
    <w:unhideWhenUsed/>
    <w:qFormat/>
    <w:rsid w:val="00843833"/>
    <w:pPr>
      <w:spacing w:lineRule="auto" w:line="240" w:before="200" w:after="60"/>
      <w:contextualSpacing/>
      <w:outlineLvl w:val="1"/>
    </w:pPr>
    <w:rPr>
      <w:rFonts w:ascii="Cambria" w:hAnsi="Cambria" w:eastAsia="宋体" w:cs="" w:asciiTheme="majorHAnsi" w:cstheme="majorBidi" w:eastAsiaTheme="majorEastAsia" w:hAnsiTheme="majorHAns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Normal"/>
    <w:link w:val="30"/>
    <w:uiPriority w:val="9"/>
    <w:semiHidden/>
    <w:unhideWhenUsed/>
    <w:qFormat/>
    <w:rsid w:val="00843833"/>
    <w:pPr>
      <w:spacing w:lineRule="auto" w:line="240" w:before="200" w:after="100"/>
      <w:contextualSpacing/>
      <w:outlineLvl w:val="2"/>
    </w:pPr>
    <w:rPr>
      <w:rFonts w:ascii="Cambria" w:hAnsi="Cambria" w:eastAsia="宋体" w:cs="" w:asciiTheme="majorHAnsi" w:cstheme="majorBidi" w:eastAsiaTheme="majorEastAsia" w:hAnsiTheme="majorHAns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843833"/>
    <w:pPr>
      <w:spacing w:lineRule="auto" w:line="240" w:before="200" w:after="100"/>
      <w:contextualSpacing/>
      <w:outlineLvl w:val="3"/>
    </w:pPr>
    <w:rPr>
      <w:rFonts w:ascii="Cambria" w:hAnsi="Cambria" w:eastAsia="宋体" w:cs="" w:asciiTheme="majorHAnsi" w:cstheme="majorBidi" w:eastAsiaTheme="majorEastAsia" w:hAnsiTheme="majorHAns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843833"/>
    <w:pPr>
      <w:spacing w:lineRule="auto" w:line="240" w:before="200" w:after="100"/>
      <w:contextualSpacing/>
      <w:outlineLvl w:val="4"/>
    </w:pPr>
    <w:rPr>
      <w:rFonts w:ascii="Cambria" w:hAnsi="Cambria" w:eastAsia="宋体" w:cs="" w:asciiTheme="majorHAnsi" w:cstheme="majorBidi" w:eastAsiaTheme="majorEastAsia" w:hAnsiTheme="majorHAns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843833"/>
    <w:pPr>
      <w:spacing w:lineRule="auto" w:line="240" w:before="200" w:after="100"/>
      <w:contextualSpacing/>
      <w:outlineLvl w:val="5"/>
    </w:pPr>
    <w:rPr>
      <w:rFonts w:ascii="Cambria" w:hAnsi="Cambria" w:eastAsia="宋体" w:cs="" w:asciiTheme="majorHAnsi" w:cstheme="majorBidi" w:eastAsiaTheme="majorEastAsia" w:hAnsiTheme="majorHAnsi"/>
      <w:color w:val="365F91" w:themeColor="accent1" w:themeShade="bf"/>
      <w:sz w:val="22"/>
      <w:szCs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843833"/>
    <w:pPr>
      <w:spacing w:lineRule="auto" w:line="240" w:before="200" w:after="100"/>
      <w:contextualSpacing/>
      <w:outlineLvl w:val="6"/>
    </w:pPr>
    <w:rPr>
      <w:rFonts w:ascii="Cambria" w:hAnsi="Cambria" w:eastAsia="宋体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843833"/>
    <w:pPr>
      <w:spacing w:lineRule="auto" w:line="240" w:before="200" w:after="100"/>
      <w:contextualSpacing/>
      <w:outlineLvl w:val="7"/>
    </w:pPr>
    <w:rPr>
      <w:rFonts w:ascii="Cambria" w:hAnsi="Cambria" w:eastAsia="宋体" w:cs="" w:asciiTheme="majorHAnsi" w:cstheme="majorBidi" w:eastAsiaTheme="majorEastAsia" w:hAnsiTheme="majorHAnsi"/>
      <w:color w:val="4F81BD" w:themeColor="accent1"/>
      <w:sz w:val="22"/>
      <w:szCs w:val="22"/>
    </w:rPr>
  </w:style>
  <w:style w:type="paragraph" w:styleId="9">
    <w:name w:val="Heading 9"/>
    <w:basedOn w:val="Normal"/>
    <w:link w:val="90"/>
    <w:uiPriority w:val="9"/>
    <w:semiHidden/>
    <w:unhideWhenUsed/>
    <w:qFormat/>
    <w:rsid w:val="00843833"/>
    <w:pPr>
      <w:spacing w:lineRule="auto" w:line="240" w:before="200" w:after="100"/>
      <w:contextualSpacing/>
      <w:outlineLvl w:val="8"/>
    </w:pPr>
    <w:rPr>
      <w:rFonts w:ascii="Cambria" w:hAnsi="Cambria" w:eastAsia="宋体" w:cs="" w:asciiTheme="majorHAnsi" w:cstheme="majorBidi" w:eastAsiaTheme="majorEastAsia" w:hAnsiTheme="majorHAnsi"/>
      <w:smallCaps/>
      <w:color w:val="C0504D" w:themeColor="accent2"/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3833"/>
    <w:rPr>
      <w:rFonts w:ascii="Cambria" w:hAnsi="Cambria" w:asciiTheme="majorHAnsi" w:hAnsiTheme="majorHAnsi"/>
      <w:iCs/>
      <w:color w:val="FFFFFF"/>
      <w:sz w:val="28"/>
      <w:szCs w:val="38"/>
      <w:shd w:fill="4F81BD" w:val="clear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Cs/>
      <w:smallCaps/>
      <w:color w:val="943634" w:themeColor="accent2" w:themeShade="bf"/>
      <w:spacing w:val="24"/>
      <w:sz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Cs/>
      <w:color w:val="365F91" w:themeColor="accent1" w:themeShade="bf"/>
      <w:sz w:val="24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Cs/>
      <w:iCs/>
      <w:caps/>
      <w:color w:val="943634" w:themeColor="accent2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365F91" w:themeColor="accent1" w:themeShade="b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943634" w:themeColor="accent2" w:themeShade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4F81BD" w:themeColor="accent1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smallCaps/>
      <w:color w:val="C0504D" w:themeColor="accent2"/>
      <w:sz w:val="20"/>
      <w:szCs w:val="21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FFFFFF" w:themeColor="background1"/>
      <w:spacing w:val="10"/>
      <w:sz w:val="72"/>
      <w:szCs w:val="64"/>
      <w:shd w:fill="FFFFFF" w:val="clear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843833"/>
    <w:rPr>
      <w:b/>
      <w:bCs/>
      <w:spacing w:val="0"/>
    </w:rPr>
  </w:style>
  <w:style w:type="character" w:styleId="Style7">
    <w:name w:val="Выделение"/>
    <w:uiPriority w:val="20"/>
    <w:qFormat/>
    <w:rsid w:val="00843833"/>
    <w:rPr/>
  </w:style>
  <w:style w:type="character" w:styleId="Style8" w:customStyle="1">
    <w:name w:val="Без интервала Знак"/>
    <w:basedOn w:val="DefaultParagraphFont"/>
    <w:link w:val="ab"/>
    <w:uiPriority w:val="1"/>
    <w:qFormat/>
    <w:rsid w:val="00843833"/>
    <w:rPr>
      <w:iCs/>
      <w:sz w:val="21"/>
      <w:szCs w:val="21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843833"/>
    <w:rPr>
      <w:b/>
      <w:i/>
      <w:iCs/>
      <w:color w:val="C0504D" w:themeColor="accent2"/>
      <w:sz w:val="24"/>
      <w:szCs w:val="21"/>
    </w:rPr>
  </w:style>
  <w:style w:type="character" w:styleId="Style9" w:customStyle="1">
    <w:name w:val="Выделенная цитата Знак"/>
    <w:basedOn w:val="DefaultParagraphFont"/>
    <w:link w:val="ad"/>
    <w:uiPriority w:val="30"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43833"/>
    <w:rPr>
      <w:rFonts w:ascii="Cambria" w:hAnsi="Cambria" w:eastAsia="宋体" w:cs="" w:asciiTheme="majorHAnsi" w:cstheme="majorBidi" w:eastAsiaTheme="majorEastAsia" w:hAnsiTheme="majorHAnsi"/>
      <w:b/>
      <w:i/>
      <w:color w:val="4F81BD" w:themeColor="accent1"/>
    </w:rPr>
  </w:style>
  <w:style w:type="character" w:styleId="IntenseEmphasis">
    <w:name w:val="Intense Emphasis"/>
    <w:uiPriority w:val="21"/>
    <w:qFormat/>
    <w:rsid w:val="00843833"/>
    <w:rPr>
      <w:rFonts w:ascii="Cambria" w:hAnsi="Cambria" w:eastAsia="宋体" w:cs="" w:asciiTheme="majorHAnsi" w:cstheme="majorBidi" w:eastAsiaTheme="majorEastAsia" w:hAnsiTheme="majorHAnsi"/>
      <w:i/>
      <w:iCs/>
      <w:color w:val="FFFFFF" w:themeColor="background1"/>
      <w:position w:val="0"/>
      <w:sz w:val="21"/>
      <w:sz w:val="21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uiPriority w:val="31"/>
    <w:qFormat/>
    <w:rsid w:val="00843833"/>
    <w:rPr>
      <w:i/>
      <w:iCs/>
      <w:smallCaps/>
      <w:color w:val="C0504D" w:themeColor="accent2"/>
      <w:u w:val="none" w:color="C0504D"/>
    </w:rPr>
  </w:style>
  <w:style w:type="character" w:styleId="IntenseReference">
    <w:name w:val="Intense Reference"/>
    <w:uiPriority w:val="32"/>
    <w:qFormat/>
    <w:rsid w:val="00843833"/>
    <w:rPr>
      <w:b/>
      <w:bCs/>
      <w:i/>
      <w:iCs/>
      <w:smallCaps/>
      <w:color w:val="C0504D" w:themeColor="accent2"/>
      <w:u w:val="none" w:color="C0504D"/>
    </w:rPr>
  </w:style>
  <w:style w:type="character" w:styleId="BookTitle">
    <w:name w:val="Book Title"/>
    <w:uiPriority w:val="33"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smallCaps/>
      <w:color w:val="C0504D" w:themeColor="accent2"/>
      <w:u w:val="single"/>
    </w:rPr>
  </w:style>
  <w:style w:type="character" w:styleId="Style10" w:customStyle="1">
    <w:name w:val="Нижний колонтитул Знак"/>
    <w:basedOn w:val="DefaultParagraphFont"/>
    <w:link w:val="af5"/>
    <w:uiPriority w:val="99"/>
    <w:qFormat/>
    <w:rsid w:val="005d29f2"/>
    <w:rPr>
      <w:iCs/>
      <w:sz w:val="21"/>
      <w:szCs w:val="21"/>
    </w:rPr>
  </w:style>
  <w:style w:type="character" w:styleId="Pagenumber">
    <w:name w:val="page number"/>
    <w:basedOn w:val="DefaultParagraphFont"/>
    <w:qFormat/>
    <w:rsid w:val="005d29f2"/>
    <w:rPr/>
  </w:style>
  <w:style w:type="character" w:styleId="Style11" w:customStyle="1">
    <w:name w:val="Текст выноски Знак"/>
    <w:basedOn w:val="DefaultParagraphFont"/>
    <w:link w:val="af9"/>
    <w:uiPriority w:val="99"/>
    <w:semiHidden/>
    <w:qFormat/>
    <w:rsid w:val="007c4239"/>
    <w:rPr>
      <w:rFonts w:ascii="Tahoma" w:hAnsi="Tahoma" w:cs="Tahoma"/>
      <w:iCs/>
      <w:sz w:val="16"/>
      <w:szCs w:val="16"/>
    </w:rPr>
  </w:style>
  <w:style w:type="character" w:styleId="Style12" w:customStyle="1">
    <w:name w:val="Верхний колонтитул Знак"/>
    <w:basedOn w:val="DefaultParagraphFont"/>
    <w:link w:val="afb"/>
    <w:uiPriority w:val="99"/>
    <w:qFormat/>
    <w:rsid w:val="00ba02fd"/>
    <w:rPr>
      <w:iCs/>
      <w:sz w:val="21"/>
      <w:szCs w:val="21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rsid w:val="00843833"/>
    <w:pPr/>
    <w:rPr>
      <w:b/>
      <w:bCs/>
      <w:color w:val="943634" w:themeColor="accent2" w:themeShade="bf"/>
      <w:sz w:val="18"/>
      <w:szCs w:val="18"/>
    </w:rPr>
  </w:style>
  <w:style w:type="paragraph" w:styleId="Style18">
    <w:name w:val="Title"/>
    <w:basedOn w:val="Normal"/>
    <w:link w:val="a6"/>
    <w:uiPriority w:val="10"/>
    <w:qFormat/>
    <w:rsid w:val="00843833"/>
    <w:pPr>
      <w:shd w:val="clear" w:color="auto" w:fill="FFFFFF" w:themeFill="background1"/>
      <w:spacing w:lineRule="auto" w:line="240" w:before="0" w:after="120"/>
    </w:pPr>
    <w:rPr>
      <w:rFonts w:ascii="Cambria" w:hAnsi="Cambria" w:eastAsia="宋体" w:cs="" w:asciiTheme="majorHAnsi" w:cstheme="majorBidi" w:eastAsiaTheme="majorEastAsia" w:hAnsiTheme="majorHAns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tyle19">
    <w:name w:val="Subtitle"/>
    <w:basedOn w:val="Normal"/>
    <w:link w:val="a8"/>
    <w:uiPriority w:val="11"/>
    <w:qFormat/>
    <w:rsid w:val="00843833"/>
    <w:pPr>
      <w:spacing w:lineRule="auto" w:line="240" w:before="200" w:after="360"/>
    </w:pPr>
    <w:rPr>
      <w:rFonts w:ascii="Cambria" w:hAnsi="Cambria" w:eastAsia="宋体" w:cs="" w:asciiTheme="majorHAnsi" w:cstheme="majorBidi" w:eastAsiaTheme="majorEastAsia" w:hAnsiTheme="majorHAnsi"/>
      <w:color w:val="1F497D" w:themeColor="text2"/>
      <w:spacing w:val="20"/>
      <w:sz w:val="24"/>
      <w:szCs w:val="24"/>
    </w:rPr>
  </w:style>
  <w:style w:type="paragraph" w:styleId="NoSpacing">
    <w:name w:val="No Spacing"/>
    <w:basedOn w:val="Normal"/>
    <w:link w:val="ac"/>
    <w:uiPriority w:val="1"/>
    <w:qFormat/>
    <w:rsid w:val="00843833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43833"/>
    <w:pPr>
      <w:spacing w:before="0" w:after="200"/>
      <w:contextualSpacing/>
    </w:pPr>
    <w:rPr>
      <w:sz w:val="22"/>
    </w:rPr>
  </w:style>
  <w:style w:type="paragraph" w:styleId="Quote">
    <w:name w:val="Quote"/>
    <w:basedOn w:val="Normal"/>
    <w:link w:val="22"/>
    <w:uiPriority w:val="29"/>
    <w:qFormat/>
    <w:rsid w:val="00843833"/>
    <w:pPr/>
    <w:rPr>
      <w:b/>
      <w:i/>
      <w:color w:val="C0504D" w:themeColor="accent2"/>
      <w:sz w:val="24"/>
    </w:rPr>
  </w:style>
  <w:style w:type="paragraph" w:styleId="IntenseQuote">
    <w:name w:val="Intense Quote"/>
    <w:basedOn w:val="Normal"/>
    <w:link w:val="ae"/>
    <w:uiPriority w:val="30"/>
    <w:qFormat/>
    <w:rsid w:val="00843833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宋体" w:cs="" w:asciiTheme="majorHAnsi" w:cstheme="majorBidi" w:eastAsiaTheme="majorEastAsia" w:hAnsiTheme="majorHAnsi"/>
      <w:b/>
      <w:bCs/>
      <w:i/>
      <w:color w:val="C0504D" w:themeColor="accent2"/>
      <w:sz w:val="20"/>
      <w:szCs w:val="20"/>
    </w:rPr>
  </w:style>
  <w:style w:type="paragraph" w:styleId="TOCHeading">
    <w:name w:val="TOC Heading"/>
    <w:basedOn w:val="1"/>
    <w:uiPriority w:val="39"/>
    <w:semiHidden/>
    <w:unhideWhenUsed/>
    <w:qFormat/>
    <w:rsid w:val="00843833"/>
    <w:pPr>
      <w:shd w:val="clear" w:fill="4F81BD"/>
    </w:pPr>
    <w:rPr/>
  </w:style>
  <w:style w:type="paragraph" w:styleId="Style20">
    <w:name w:val="Footer"/>
    <w:basedOn w:val="Normal"/>
    <w:link w:val="af6"/>
    <w:uiPriority w:val="99"/>
    <w:unhideWhenUsed/>
    <w:rsid w:val="005d29f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a"/>
    <w:uiPriority w:val="99"/>
    <w:semiHidden/>
    <w:unhideWhenUsed/>
    <w:qFormat/>
    <w:rsid w:val="007c423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Header"/>
    <w:basedOn w:val="Normal"/>
    <w:link w:val="afc"/>
    <w:uiPriority w:val="99"/>
    <w:unhideWhenUsed/>
    <w:rsid w:val="00ba02f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rsid w:val="005d29f2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LibreOffice/6.0.3.2$Linux_x86 LibreOffice_project/00m0$Build-2</Application>
  <Pages>13</Pages>
  <Words>2880</Words>
  <Characters>20637</Characters>
  <CharactersWithSpaces>23438</CharactersWithSpaces>
  <Paragraphs>422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2018-12-28T04:53:00Z</dcterms:created>
  <dc:creator>StepanenkoNP</dc:creator>
  <dc:description/>
  <dc:language>ru-RU</dc:language>
  <cp:lastModifiedBy/>
  <cp:lastPrinted>2018-12-26T07:26:00Z</cp:lastPrinted>
  <dcterms:modified xsi:type="dcterms:W3CDTF">2018-12-28T11:49:59Z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