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Default="00507B64" w:rsidP="00C3558A">
      <w:pPr>
        <w:spacing w:after="0"/>
      </w:pPr>
      <w:bookmarkStart w:id="0" w:name="_GoBack"/>
      <w:bookmarkEnd w:id="0"/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</w:t>
      </w:r>
      <w:r w:rsidR="0019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Клинцовская городская администрация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766">
        <w:rPr>
          <w:lang w:val="en-US"/>
        </w:rPr>
        <w:t>economika</w:t>
      </w:r>
      <w:proofErr w:type="spellEnd"/>
      <w:r w:rsidR="00192766" w:rsidRPr="00192766">
        <w:t>63@</w:t>
      </w:r>
      <w:r w:rsidR="00192766">
        <w:rPr>
          <w:lang w:val="en-US"/>
        </w:rPr>
        <w:t>mail</w:t>
      </w:r>
      <w:r w:rsidR="00192766" w:rsidRPr="00192766">
        <w:t>.</w:t>
      </w:r>
      <w:proofErr w:type="spellStart"/>
      <w:r w:rsidR="00192766">
        <w:rPr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3140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Клинцы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ул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Октябрьская, д.42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 </w:t>
      </w:r>
      <w:r w:rsidR="0019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Клинцовская городская администрация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1392"/>
        <w:gridCol w:w="1279"/>
        <w:gridCol w:w="1506"/>
        <w:gridCol w:w="1393"/>
        <w:gridCol w:w="1459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lastRenderedPageBreak/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lastRenderedPageBreak/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lastRenderedPageBreak/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A6F37"/>
    <w:rsid w:val="00192766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B0476B"/>
    <w:rsid w:val="00B16CE0"/>
    <w:rsid w:val="00B43FAA"/>
    <w:rsid w:val="00BA3F25"/>
    <w:rsid w:val="00C1146D"/>
    <w:rsid w:val="00C3558A"/>
    <w:rsid w:val="00CA0143"/>
    <w:rsid w:val="00D20E3A"/>
    <w:rsid w:val="00E02091"/>
    <w:rsid w:val="00F1520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ekonom02</cp:lastModifiedBy>
  <cp:revision>2</cp:revision>
  <cp:lastPrinted>2017-02-01T14:21:00Z</cp:lastPrinted>
  <dcterms:created xsi:type="dcterms:W3CDTF">2019-10-10T05:46:00Z</dcterms:created>
  <dcterms:modified xsi:type="dcterms:W3CDTF">2019-10-10T05:46:00Z</dcterms:modified>
</cp:coreProperties>
</file>