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ФЕДЕРАЛЬНАЯ СЛУЖБА ПО РЕГУЛИРОВАНИЮ АЛКОГОЛЬНОГО РЫНКА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 сентября 2014 г. N 17141/03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Росалкогольрегулирование</w:t>
      </w:r>
      <w:proofErr w:type="spellEnd"/>
      <w:r>
        <w:rPr>
          <w:rFonts w:ascii="Calibri" w:hAnsi="Calibri" w:cs="Calibri"/>
        </w:rPr>
        <w:t xml:space="preserve"> 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6.3</w:t>
        </w:r>
      </w:hyperlink>
      <w:r>
        <w:rPr>
          <w:rFonts w:ascii="Calibri" w:hAnsi="Calibri" w:cs="Calibri"/>
        </w:rPr>
        <w:t xml:space="preserve"> Положения о Федеральной службе по регулированию алкогольного рынка, утвержденного постановлением Правительства Российской Федерации от 24 февраля 2009 г. N 154, направляет </w:t>
      </w:r>
      <w:hyperlink w:anchor="Par16" w:history="1">
        <w:r>
          <w:rPr>
            <w:rFonts w:ascii="Calibri" w:hAnsi="Calibri" w:cs="Calibri"/>
            <w:color w:val="0000FF"/>
          </w:rPr>
          <w:t>ответы</w:t>
        </w:r>
      </w:hyperlink>
      <w:r>
        <w:rPr>
          <w:rFonts w:ascii="Calibri" w:hAnsi="Calibri" w:cs="Calibri"/>
        </w:rPr>
        <w:t xml:space="preserve"> на часто задаваемые вопросы граждан и организаций, касающиеся Порядка заполнения журнала учета объема розничной продажи алкогольной и спиртосодержащей продукции, утвержденного приказом </w:t>
      </w:r>
      <w:proofErr w:type="spellStart"/>
      <w:r>
        <w:rPr>
          <w:rFonts w:ascii="Calibri" w:hAnsi="Calibri" w:cs="Calibri"/>
        </w:rPr>
        <w:t>Росалкогольрегулирования</w:t>
      </w:r>
      <w:proofErr w:type="spellEnd"/>
      <w:r>
        <w:rPr>
          <w:rFonts w:ascii="Calibri" w:hAnsi="Calibri" w:cs="Calibri"/>
        </w:rPr>
        <w:t xml:space="preserve"> от 23.05.2014 N 153, для использования в работе при рассмотрении</w:t>
      </w:r>
      <w:proofErr w:type="gramEnd"/>
      <w:r>
        <w:rPr>
          <w:rFonts w:ascii="Calibri" w:hAnsi="Calibri" w:cs="Calibri"/>
        </w:rPr>
        <w:t xml:space="preserve"> аналогичных обращений.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В.В.ЗАСЛАВСКИЙ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1" w:name="_GoBack"/>
      <w:bookmarkEnd w:id="1"/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14"/>
      <w:bookmarkEnd w:id="2"/>
      <w:r>
        <w:rPr>
          <w:rFonts w:ascii="Calibri" w:hAnsi="Calibri" w:cs="Calibri"/>
        </w:rPr>
        <w:t>Приложение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00D6" w:rsidRPr="001655A7" w:rsidRDefault="000B0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bookmarkStart w:id="3" w:name="Par16"/>
      <w:bookmarkEnd w:id="3"/>
      <w:r w:rsidRPr="001655A7">
        <w:rPr>
          <w:rFonts w:ascii="Calibri" w:hAnsi="Calibri" w:cs="Calibri"/>
          <w:b/>
        </w:rPr>
        <w:t>ОТВЕТЫ</w:t>
      </w:r>
    </w:p>
    <w:p w:rsidR="000B00D6" w:rsidRPr="001655A7" w:rsidRDefault="000B0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1655A7">
        <w:rPr>
          <w:rFonts w:ascii="Calibri" w:hAnsi="Calibri" w:cs="Calibri"/>
          <w:b/>
        </w:rPr>
        <w:t>НА ЧАСТО ЗАДАВАЕМЫЕ ВОПРОСЫ ГРАЖДАН И ОРГАНИЗАЦИЙ,</w:t>
      </w:r>
    </w:p>
    <w:p w:rsidR="000B00D6" w:rsidRPr="001655A7" w:rsidRDefault="000B0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1655A7">
        <w:rPr>
          <w:rFonts w:ascii="Calibri" w:hAnsi="Calibri" w:cs="Calibri"/>
          <w:b/>
        </w:rPr>
        <w:t>КАСАЮЩИЕСЯ ПОРЯДКА ЗАПОЛНЕНИЯ ЖУРНАЛА УЧЕТА ОБЪЕМА</w:t>
      </w:r>
    </w:p>
    <w:p w:rsidR="000B00D6" w:rsidRPr="001655A7" w:rsidRDefault="000B0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1655A7">
        <w:rPr>
          <w:rFonts w:ascii="Calibri" w:hAnsi="Calibri" w:cs="Calibri"/>
          <w:b/>
        </w:rPr>
        <w:t>РОЗНИЧНОЙ ПРОДАЖИ АЛКОГОЛЬНОЙ И СПИРТОСОДЕРЖАЩЕЙ ПРОДУКЦИИ,</w:t>
      </w:r>
    </w:p>
    <w:p w:rsidR="000B00D6" w:rsidRPr="001655A7" w:rsidRDefault="000B0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proofErr w:type="gramStart"/>
      <w:r w:rsidRPr="001655A7">
        <w:rPr>
          <w:rFonts w:ascii="Calibri" w:hAnsi="Calibri" w:cs="Calibri"/>
          <w:b/>
        </w:rPr>
        <w:t>УТВЕРЖДЕННОГО</w:t>
      </w:r>
      <w:proofErr w:type="gramEnd"/>
      <w:r w:rsidRPr="001655A7">
        <w:rPr>
          <w:rFonts w:ascii="Calibri" w:hAnsi="Calibri" w:cs="Calibri"/>
          <w:b/>
        </w:rPr>
        <w:t xml:space="preserve"> ПРИКАЗОМ РОСАЛКОГОЛЬРЕГУЛИРОВАНИЯ</w:t>
      </w:r>
    </w:p>
    <w:p w:rsidR="000B00D6" w:rsidRPr="001655A7" w:rsidRDefault="000B0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1655A7">
        <w:rPr>
          <w:rFonts w:ascii="Calibri" w:hAnsi="Calibri" w:cs="Calibri"/>
          <w:b/>
        </w:rPr>
        <w:t>ОТ 23.05.2014 N 153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Когда вступает в силу </w:t>
      </w:r>
      <w:hyperlink r:id="rId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заполнения журнала учета объема розничной продажи алкогольной и спиртосодержащей продукции, утвержденный приказом </w:t>
      </w:r>
      <w:proofErr w:type="spellStart"/>
      <w:r>
        <w:rPr>
          <w:rFonts w:ascii="Calibri" w:hAnsi="Calibri" w:cs="Calibri"/>
        </w:rPr>
        <w:t>Росалкогольрегулирования</w:t>
      </w:r>
      <w:proofErr w:type="spellEnd"/>
      <w:r>
        <w:rPr>
          <w:rFonts w:ascii="Calibri" w:hAnsi="Calibri" w:cs="Calibri"/>
        </w:rPr>
        <w:t xml:space="preserve"> от 23.05.2014 N 153 "О форме журнала учета объема розничной продажи алкогольной и спиртосодержащей продукции и порядке его заполнения"?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Ответ: </w:t>
      </w:r>
      <w:hyperlink r:id="rId7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журнала учета объема розничной продажи алкогольной и спиртосодержащей продукции (далее - Журнал) и </w:t>
      </w:r>
      <w:hyperlink r:id="rId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его заполнения (далее - Порядок) утверждены приказом </w:t>
      </w:r>
      <w:proofErr w:type="spellStart"/>
      <w:r>
        <w:rPr>
          <w:rFonts w:ascii="Calibri" w:hAnsi="Calibri" w:cs="Calibri"/>
        </w:rPr>
        <w:t>Росалкогольрегулирования</w:t>
      </w:r>
      <w:proofErr w:type="spellEnd"/>
      <w:r>
        <w:rPr>
          <w:rFonts w:ascii="Calibri" w:hAnsi="Calibri" w:cs="Calibri"/>
        </w:rPr>
        <w:t xml:space="preserve"> от 23.05.2014 N 153 (далее - Приказ).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9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Приказа приказ вступает в силу по истечении четырех месяцев после дня его официального опубликования.</w:t>
      </w:r>
    </w:p>
    <w:p w:rsidR="000B00D6" w:rsidRDefault="0016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 w:rsidR="000B00D6">
          <w:rPr>
            <w:rFonts w:ascii="Calibri" w:hAnsi="Calibri" w:cs="Calibri"/>
            <w:color w:val="0000FF"/>
          </w:rPr>
          <w:t>Приказ</w:t>
        </w:r>
      </w:hyperlink>
      <w:r w:rsidR="000B00D6">
        <w:rPr>
          <w:rFonts w:ascii="Calibri" w:hAnsi="Calibri" w:cs="Calibri"/>
        </w:rPr>
        <w:t xml:space="preserve"> был опубликован в Российской газете N 181 от 13.08.2014, в </w:t>
      </w:r>
      <w:proofErr w:type="gramStart"/>
      <w:r w:rsidR="000B00D6">
        <w:rPr>
          <w:rFonts w:ascii="Calibri" w:hAnsi="Calibri" w:cs="Calibri"/>
        </w:rPr>
        <w:t>связи</w:t>
      </w:r>
      <w:proofErr w:type="gramEnd"/>
      <w:r w:rsidR="000B00D6">
        <w:rPr>
          <w:rFonts w:ascii="Calibri" w:hAnsi="Calibri" w:cs="Calibri"/>
        </w:rPr>
        <w:t xml:space="preserve"> с чем он вступает в силу 14.12.2014.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Что понимается под хозяйственной операцией в </w:t>
      </w:r>
      <w:hyperlink r:id="rId11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Порядка?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Ответ: </w:t>
      </w:r>
      <w:hyperlink r:id="rId12" w:history="1">
        <w:r>
          <w:rPr>
            <w:rFonts w:ascii="Calibri" w:hAnsi="Calibri" w:cs="Calibri"/>
            <w:color w:val="0000FF"/>
          </w:rPr>
          <w:t>Пунктом 4</w:t>
        </w:r>
      </w:hyperlink>
      <w:r>
        <w:rPr>
          <w:rFonts w:ascii="Calibri" w:hAnsi="Calibri" w:cs="Calibri"/>
        </w:rPr>
        <w:t xml:space="preserve"> Порядка предусмотрено, что </w:t>
      </w:r>
      <w:hyperlink r:id="rId13" w:history="1">
        <w:r>
          <w:rPr>
            <w:rFonts w:ascii="Calibri" w:hAnsi="Calibri" w:cs="Calibri"/>
            <w:color w:val="0000FF"/>
          </w:rPr>
          <w:t>Журнал</w:t>
        </w:r>
      </w:hyperlink>
      <w:r>
        <w:rPr>
          <w:rFonts w:ascii="Calibri" w:hAnsi="Calibri" w:cs="Calibri"/>
        </w:rPr>
        <w:t xml:space="preserve"> заполняется по мере совершения хозяйственных операций. Для каждой хозяйственной операции создается новая запись.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Формой журнала предусмотрено два раздела для внесения хозяйственных операций - </w:t>
      </w:r>
      <w:hyperlink r:id="rId14" w:history="1">
        <w:r>
          <w:rPr>
            <w:rFonts w:ascii="Calibri" w:hAnsi="Calibri" w:cs="Calibri"/>
            <w:color w:val="0000FF"/>
          </w:rPr>
          <w:t>Поступления</w:t>
        </w:r>
      </w:hyperlink>
      <w:r>
        <w:rPr>
          <w:rFonts w:ascii="Calibri" w:hAnsi="Calibri" w:cs="Calibri"/>
        </w:rPr>
        <w:t xml:space="preserve"> и </w:t>
      </w:r>
      <w:hyperlink r:id="rId15" w:history="1">
        <w:r>
          <w:rPr>
            <w:rFonts w:ascii="Calibri" w:hAnsi="Calibri" w:cs="Calibri"/>
            <w:color w:val="0000FF"/>
          </w:rPr>
          <w:t>Расход</w:t>
        </w:r>
      </w:hyperlink>
      <w:r>
        <w:rPr>
          <w:rFonts w:ascii="Calibri" w:hAnsi="Calibri" w:cs="Calibri"/>
        </w:rPr>
        <w:t xml:space="preserve">. Таким образом, в </w:t>
      </w:r>
      <w:hyperlink r:id="rId16" w:history="1">
        <w:r>
          <w:rPr>
            <w:rFonts w:ascii="Calibri" w:hAnsi="Calibri" w:cs="Calibri"/>
            <w:color w:val="0000FF"/>
          </w:rPr>
          <w:t>Журнал</w:t>
        </w:r>
      </w:hyperlink>
      <w:r>
        <w:rPr>
          <w:rFonts w:ascii="Calibri" w:hAnsi="Calibri" w:cs="Calibri"/>
        </w:rPr>
        <w:t xml:space="preserve"> подлежат внесению сведения о совершенных хозяйственных операциях, сопровождающихся оформлением первичных учетных документов в соответствии с требованиями </w:t>
      </w:r>
      <w:hyperlink r:id="rId17" w:history="1">
        <w:r>
          <w:rPr>
            <w:rFonts w:ascii="Calibri" w:hAnsi="Calibri" w:cs="Calibri"/>
            <w:color w:val="0000FF"/>
          </w:rPr>
          <w:t>пункта 1 статьи 9</w:t>
        </w:r>
      </w:hyperlink>
      <w:r>
        <w:rPr>
          <w:rFonts w:ascii="Calibri" w:hAnsi="Calibri" w:cs="Calibri"/>
        </w:rPr>
        <w:t xml:space="preserve"> Федерального закона от 06.12.2011 N 402-ФЗ "О бухгалтерском учете", в результате которых произошло поступление или расход алкогольной и спиртосодержащей продукции (далее - продукция).</w:t>
      </w:r>
      <w:proofErr w:type="gramEnd"/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Каким образом в </w:t>
      </w:r>
      <w:hyperlink r:id="rId18" w:history="1">
        <w:r>
          <w:rPr>
            <w:rFonts w:ascii="Calibri" w:hAnsi="Calibri" w:cs="Calibri"/>
            <w:color w:val="0000FF"/>
          </w:rPr>
          <w:t>Журнале</w:t>
        </w:r>
      </w:hyperlink>
      <w:r>
        <w:rPr>
          <w:rFonts w:ascii="Calibri" w:hAnsi="Calibri" w:cs="Calibri"/>
        </w:rPr>
        <w:t xml:space="preserve"> учитывается продукция организациями, осуществляющими розничную продажу продукции по частям (порциями) при оказании услуг общественного питания?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Ответ: Поскольку единицей измерения при заполнении </w:t>
      </w:r>
      <w:hyperlink r:id="rId19" w:history="1">
        <w:r>
          <w:rPr>
            <w:rFonts w:ascii="Calibri" w:hAnsi="Calibri" w:cs="Calibri"/>
            <w:color w:val="0000FF"/>
          </w:rPr>
          <w:t>Журнала</w:t>
        </w:r>
      </w:hyperlink>
      <w:r>
        <w:rPr>
          <w:rFonts w:ascii="Calibri" w:hAnsi="Calibri" w:cs="Calibri"/>
        </w:rPr>
        <w:t xml:space="preserve"> считается единица потребительской тары продукции, информация о ее реализации подлежит внесению в Журнал после списания данной единицы с остатков в организации.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Что является отчетным периодом и единицей измерения при заполнении </w:t>
      </w:r>
      <w:hyperlink r:id="rId20" w:history="1">
        <w:r>
          <w:rPr>
            <w:rFonts w:ascii="Calibri" w:hAnsi="Calibri" w:cs="Calibri"/>
            <w:color w:val="0000FF"/>
          </w:rPr>
          <w:t>граф N 10</w:t>
        </w:r>
      </w:hyperlink>
      <w:r>
        <w:rPr>
          <w:rFonts w:ascii="Calibri" w:hAnsi="Calibri" w:cs="Calibri"/>
        </w:rPr>
        <w:t xml:space="preserve"> и </w:t>
      </w:r>
      <w:hyperlink r:id="rId21" w:history="1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 Журнала?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Ответ: </w:t>
      </w:r>
      <w:proofErr w:type="gramStart"/>
      <w:r>
        <w:rPr>
          <w:rFonts w:ascii="Calibri" w:hAnsi="Calibri" w:cs="Calibri"/>
        </w:rPr>
        <w:t xml:space="preserve">В связи с тем, что информация, зафиксированная в </w:t>
      </w:r>
      <w:hyperlink r:id="rId22" w:history="1">
        <w:r>
          <w:rPr>
            <w:rFonts w:ascii="Calibri" w:hAnsi="Calibri" w:cs="Calibri"/>
            <w:color w:val="0000FF"/>
          </w:rPr>
          <w:t>Журнале</w:t>
        </w:r>
      </w:hyperlink>
      <w:r>
        <w:rPr>
          <w:rFonts w:ascii="Calibri" w:hAnsi="Calibri" w:cs="Calibri"/>
        </w:rPr>
        <w:t>, используется организациями и индивидуальными предпринимателями при заполнении деклараций (</w:t>
      </w:r>
      <w:hyperlink r:id="rId23" w:history="1">
        <w:r>
          <w:rPr>
            <w:rFonts w:ascii="Calibri" w:hAnsi="Calibri" w:cs="Calibri"/>
            <w:color w:val="0000FF"/>
          </w:rPr>
          <w:t>пункт 13</w:t>
        </w:r>
      </w:hyperlink>
      <w:r>
        <w:rPr>
          <w:rFonts w:ascii="Calibri" w:hAnsi="Calibri" w:cs="Calibri"/>
        </w:rPr>
        <w:t xml:space="preserve"> Правил учета объема производства, оборота и (или) использования этилового спирта, алкогольной и спиртосодержащей продукции, а также учета использования производственных мощностей, утвержденных постановлением Правительства Российской Федерации от 19.06.2006 N 380), которые в соответствии с </w:t>
      </w:r>
      <w:hyperlink r:id="rId24" w:history="1">
        <w:r>
          <w:rPr>
            <w:rFonts w:ascii="Calibri" w:hAnsi="Calibri" w:cs="Calibri"/>
            <w:color w:val="0000FF"/>
          </w:rPr>
          <w:t>пунктом 15</w:t>
        </w:r>
      </w:hyperlink>
      <w:r>
        <w:rPr>
          <w:rFonts w:ascii="Calibri" w:hAnsi="Calibri" w:cs="Calibri"/>
        </w:rPr>
        <w:t xml:space="preserve"> Правил представления деклараций об объеме производства</w:t>
      </w:r>
      <w:proofErr w:type="gramEnd"/>
      <w:r>
        <w:rPr>
          <w:rFonts w:ascii="Calibri" w:hAnsi="Calibri" w:cs="Calibri"/>
        </w:rPr>
        <w:t>, оборота и (или) использования этилового спирта, алкогольной и спиртосодержащей продукции, об использовании производственных мощностей, утвержденных постановлением Правительства Российской Федерации от 09.08.2012 N 815, представляются ежеквартально, подведение итогов по поступившей и израсходованной продукции осуществляется за квартал. При этом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заполнение </w:t>
      </w:r>
      <w:hyperlink r:id="rId25" w:history="1">
        <w:r>
          <w:rPr>
            <w:rFonts w:ascii="Calibri" w:hAnsi="Calibri" w:cs="Calibri"/>
            <w:color w:val="0000FF"/>
          </w:rPr>
          <w:t>граф 10</w:t>
        </w:r>
      </w:hyperlink>
      <w:r>
        <w:rPr>
          <w:rFonts w:ascii="Calibri" w:hAnsi="Calibri" w:cs="Calibri"/>
        </w:rPr>
        <w:t xml:space="preserve">, </w:t>
      </w:r>
      <w:hyperlink r:id="rId26" w:history="1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 Журнала осуществляется в декалитрах.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Какой порядок заполнения </w:t>
      </w:r>
      <w:hyperlink r:id="rId27" w:history="1">
        <w:r>
          <w:rPr>
            <w:rFonts w:ascii="Calibri" w:hAnsi="Calibri" w:cs="Calibri"/>
            <w:color w:val="0000FF"/>
          </w:rPr>
          <w:t>графы 11</w:t>
        </w:r>
      </w:hyperlink>
      <w:r>
        <w:rPr>
          <w:rFonts w:ascii="Calibri" w:hAnsi="Calibri" w:cs="Calibri"/>
        </w:rPr>
        <w:t xml:space="preserve"> Журнала?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Ответ: В соответствии с </w:t>
      </w:r>
      <w:hyperlink r:id="rId28" w:history="1">
        <w:r>
          <w:rPr>
            <w:rFonts w:ascii="Calibri" w:hAnsi="Calibri" w:cs="Calibri"/>
            <w:color w:val="0000FF"/>
          </w:rPr>
          <w:t>пунктом 11</w:t>
        </w:r>
      </w:hyperlink>
      <w:r>
        <w:rPr>
          <w:rFonts w:ascii="Calibri" w:hAnsi="Calibri" w:cs="Calibri"/>
        </w:rPr>
        <w:t xml:space="preserve"> Порядка в </w:t>
      </w:r>
      <w:hyperlink r:id="rId29" w:history="1">
        <w:r>
          <w:rPr>
            <w:rFonts w:ascii="Calibri" w:hAnsi="Calibri" w:cs="Calibri"/>
            <w:color w:val="0000FF"/>
          </w:rPr>
          <w:t>графе 11</w:t>
        </w:r>
      </w:hyperlink>
      <w:r>
        <w:rPr>
          <w:rFonts w:ascii="Calibri" w:hAnsi="Calibri" w:cs="Calibri"/>
        </w:rPr>
        <w:t xml:space="preserve"> - содержание записи, указывается в том числе: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проданная продукция;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потери продукции при транспортировке, бой продукции и другие потери;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недостача продукции, выявленная при проведении инвентаризации;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арестованная продукция, изъятая из оборота, конфискованная продукция по решению суда.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в </w:t>
      </w:r>
      <w:hyperlink r:id="rId30" w:history="1">
        <w:r>
          <w:rPr>
            <w:rFonts w:ascii="Calibri" w:hAnsi="Calibri" w:cs="Calibri"/>
            <w:color w:val="0000FF"/>
          </w:rPr>
          <w:t>графу 11</w:t>
        </w:r>
      </w:hyperlink>
      <w:r>
        <w:rPr>
          <w:rFonts w:ascii="Calibri" w:hAnsi="Calibri" w:cs="Calibri"/>
        </w:rPr>
        <w:t xml:space="preserve"> "Содержание записи" Журнала вносятся значения, позволяющие установить содержание хозяйственной операции.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Каким образом в </w:t>
      </w:r>
      <w:hyperlink r:id="rId31" w:history="1">
        <w:r>
          <w:rPr>
            <w:rFonts w:ascii="Calibri" w:hAnsi="Calibri" w:cs="Calibri"/>
            <w:color w:val="0000FF"/>
          </w:rPr>
          <w:t>Журнале</w:t>
        </w:r>
      </w:hyperlink>
      <w:r>
        <w:rPr>
          <w:rFonts w:ascii="Calibri" w:hAnsi="Calibri" w:cs="Calibri"/>
        </w:rPr>
        <w:t xml:space="preserve"> отражается перемещение продукции между подразделениями одной организации?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Ответ: В соответствии с </w:t>
      </w:r>
      <w:hyperlink r:id="rId32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Порядка заполнение журнала осуществляется по месту осуществления деятельности организации, в том числе при перемещении алкогольной продукции между обособленными подразделениями организации.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Хозяйственные операции, совершаемые при перемещении алкогольной продукции между обособленными подразделениями организации, в результате которых в обособленном подразделении организации образовалось поступление или расходование алкогольной продукции, следует отражать в разделах </w:t>
      </w:r>
      <w:hyperlink r:id="rId33" w:history="1">
        <w:r>
          <w:rPr>
            <w:rFonts w:ascii="Calibri" w:hAnsi="Calibri" w:cs="Calibri"/>
            <w:color w:val="0000FF"/>
          </w:rPr>
          <w:t>"Поступления"</w:t>
        </w:r>
      </w:hyperlink>
      <w:r>
        <w:rPr>
          <w:rFonts w:ascii="Calibri" w:hAnsi="Calibri" w:cs="Calibri"/>
        </w:rPr>
        <w:t xml:space="preserve"> и </w:t>
      </w:r>
      <w:hyperlink r:id="rId34" w:history="1">
        <w:r>
          <w:rPr>
            <w:rFonts w:ascii="Calibri" w:hAnsi="Calibri" w:cs="Calibri"/>
            <w:color w:val="0000FF"/>
          </w:rPr>
          <w:t>"Расход"</w:t>
        </w:r>
      </w:hyperlink>
      <w:r>
        <w:rPr>
          <w:rFonts w:ascii="Calibri" w:hAnsi="Calibri" w:cs="Calibri"/>
        </w:rPr>
        <w:t xml:space="preserve"> Журнала соответственно.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Какая установлена ответственность за нарушение порядка заполнения журнала?</w:t>
      </w: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Ответ: </w:t>
      </w:r>
      <w:proofErr w:type="gramStart"/>
      <w:r>
        <w:rPr>
          <w:rFonts w:ascii="Calibri" w:hAnsi="Calibri" w:cs="Calibri"/>
        </w:rPr>
        <w:t xml:space="preserve">В соответствии со </w:t>
      </w:r>
      <w:hyperlink r:id="rId35" w:history="1">
        <w:r>
          <w:rPr>
            <w:rFonts w:ascii="Calibri" w:hAnsi="Calibri" w:cs="Calibri"/>
            <w:color w:val="0000FF"/>
          </w:rPr>
          <w:t>статьей 14.19</w:t>
        </w:r>
      </w:hyperlink>
      <w:r>
        <w:rPr>
          <w:rFonts w:ascii="Calibri" w:hAnsi="Calibri" w:cs="Calibri"/>
        </w:rPr>
        <w:t xml:space="preserve"> Кодекса Российской Федерации об административных правонарушениях нарушение установленного порядка учета этилового спирта, алкогольной и спиртосодержащей продукции при их производстве или обороте влечет наложение административного штрафа на должностных лиц в размере от десяти тысяч до пятнадцати тысяч рублей; на юридических лиц - от ста пятидесяти тысяч до двухсот тысяч рублей.</w:t>
      </w:r>
      <w:proofErr w:type="gramEnd"/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00D6" w:rsidRDefault="000B0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00D6" w:rsidRDefault="000B00D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61DA4" w:rsidRDefault="001655A7"/>
    <w:sectPr w:rsidR="00361DA4" w:rsidSect="0024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D6"/>
    <w:rsid w:val="000B00D6"/>
    <w:rsid w:val="001655A7"/>
    <w:rsid w:val="006F764B"/>
    <w:rsid w:val="00C2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761E39B01512DCF316B0E32B493BACAC5A9BCB5209EF7B8CA989059109888B57676D7FD60D6759J93FK" TargetMode="External"/><Relationship Id="rId13" Type="http://schemas.openxmlformats.org/officeDocument/2006/relationships/hyperlink" Target="consultantplus://offline/ref=97761E39B01512DCF316B0E32B493BACAC5A9BCB5209EF7B8CA989059109888B57676D7FD60D675DJ93FK" TargetMode="External"/><Relationship Id="rId18" Type="http://schemas.openxmlformats.org/officeDocument/2006/relationships/hyperlink" Target="consultantplus://offline/ref=97761E39B01512DCF316B0E32B493BACAC5A9BCB5209EF7B8CA989059109888B57676D7FD60D675DJ93FK" TargetMode="External"/><Relationship Id="rId26" Type="http://schemas.openxmlformats.org/officeDocument/2006/relationships/hyperlink" Target="consultantplus://offline/ref=97761E39B01512DCF316B0E32B493BACAC5A9BCB5209EF7B8CA989059109888B57676D7FD60D6758J93B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7761E39B01512DCF316B0E32B493BACAC5A9BCB5209EF7B8CA989059109888B57676D7FD60D6758J93BK" TargetMode="External"/><Relationship Id="rId34" Type="http://schemas.openxmlformats.org/officeDocument/2006/relationships/hyperlink" Target="consultantplus://offline/ref=97761E39B01512DCF316B0E32B493BACAC5A9BCB5209EF7B8CA989059109888B57676D7FD60D675DJ93AK" TargetMode="External"/><Relationship Id="rId7" Type="http://schemas.openxmlformats.org/officeDocument/2006/relationships/hyperlink" Target="consultantplus://offline/ref=97761E39B01512DCF316B0E32B493BACAC5A9BCB5209EF7B8CA989059109888B57676D7FD60D675DJ93FK" TargetMode="External"/><Relationship Id="rId12" Type="http://schemas.openxmlformats.org/officeDocument/2006/relationships/hyperlink" Target="consultantplus://offline/ref=97761E39B01512DCF316B0E32B493BACAC5A9BCB5209EF7B8CA989059109888B57676D7FD60D6759J939K" TargetMode="External"/><Relationship Id="rId17" Type="http://schemas.openxmlformats.org/officeDocument/2006/relationships/hyperlink" Target="consultantplus://offline/ref=97761E39B01512DCF316B0E32B493BACAC5998CA540CEF7B8CA989059109888B57676D7FD60D645EJ93AK" TargetMode="External"/><Relationship Id="rId25" Type="http://schemas.openxmlformats.org/officeDocument/2006/relationships/hyperlink" Target="consultantplus://offline/ref=97761E39B01512DCF316B0E32B493BACAC5A9BCB5209EF7B8CA989059109888B57676D7FD60D6758J93EK" TargetMode="External"/><Relationship Id="rId33" Type="http://schemas.openxmlformats.org/officeDocument/2006/relationships/hyperlink" Target="consultantplus://offline/ref=97761E39B01512DCF316B0E32B493BACAC5A9BCB5209EF7B8CA989059109888B57676D7FD60D675DJ93D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7761E39B01512DCF316B0E32B493BACAC5A9BCB5209EF7B8CA989059109888B57676D7FD60D675DJ93FK" TargetMode="External"/><Relationship Id="rId20" Type="http://schemas.openxmlformats.org/officeDocument/2006/relationships/hyperlink" Target="consultantplus://offline/ref=97761E39B01512DCF316B0E32B493BACAC5A9BCB5209EF7B8CA989059109888B57676D7FD60D6758J93EK" TargetMode="External"/><Relationship Id="rId29" Type="http://schemas.openxmlformats.org/officeDocument/2006/relationships/hyperlink" Target="consultantplus://offline/ref=97761E39B01512DCF316B0E32B493BACAC5A9BCB5209EF7B8CA989059109888B57676D7FD60D6758J93F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761E39B01512DCF316B0E32B493BACAC5A9BCB5209EF7B8CA989059109888B57676D7FD60D6759J93FK" TargetMode="External"/><Relationship Id="rId11" Type="http://schemas.openxmlformats.org/officeDocument/2006/relationships/hyperlink" Target="consultantplus://offline/ref=97761E39B01512DCF316B0E32B493BACAC5A9BCB5209EF7B8CA989059109888B57676D7FD60D6759J939K" TargetMode="External"/><Relationship Id="rId24" Type="http://schemas.openxmlformats.org/officeDocument/2006/relationships/hyperlink" Target="consultantplus://offline/ref=97761E39B01512DCF316B0E32B493BACAC5A9FCA500DEF7B8CA989059109888B57676D7FJD37K" TargetMode="External"/><Relationship Id="rId32" Type="http://schemas.openxmlformats.org/officeDocument/2006/relationships/hyperlink" Target="consultantplus://offline/ref=97761E39B01512DCF316B0E32B493BACAC5A9BCB5209EF7B8CA989059109888B57676D7FD60D6759J93DK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97761E39B01512DCF316B0E32B493BACAC5A9ECF520FEF7B8CA989059109888B57676D7FD60D675BJ938K" TargetMode="External"/><Relationship Id="rId15" Type="http://schemas.openxmlformats.org/officeDocument/2006/relationships/hyperlink" Target="consultantplus://offline/ref=97761E39B01512DCF316B0E32B493BACAC5A9BCB5209EF7B8CA989059109888B57676D7FD60D675DJ93AK" TargetMode="External"/><Relationship Id="rId23" Type="http://schemas.openxmlformats.org/officeDocument/2006/relationships/hyperlink" Target="consultantplus://offline/ref=97761E39B01512DCF316B0E32B493BACAC5A9ECF530FEF7B8CA989059109888B57676D7FD60D675AJ936K" TargetMode="External"/><Relationship Id="rId28" Type="http://schemas.openxmlformats.org/officeDocument/2006/relationships/hyperlink" Target="consultantplus://offline/ref=97761E39B01512DCF316B0E32B493BACAC5A9BCB5209EF7B8CA989059109888B57676D7FD60D675BJ93EK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97761E39B01512DCF316B0E32B493BACAC5A9BCB5209EF7B8CA9890591J039K" TargetMode="External"/><Relationship Id="rId19" Type="http://schemas.openxmlformats.org/officeDocument/2006/relationships/hyperlink" Target="consultantplus://offline/ref=97761E39B01512DCF316B0E32B493BACAC5A9BCB5209EF7B8CA989059109888B57676D7FD60D675DJ93FK" TargetMode="External"/><Relationship Id="rId31" Type="http://schemas.openxmlformats.org/officeDocument/2006/relationships/hyperlink" Target="consultantplus://offline/ref=97761E39B01512DCF316B0E32B493BACAC5A9BCB5209EF7B8CA989059109888B57676D7FD60D675DJ93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761E39B01512DCF316B0E32B493BACAC5A9BCB5209EF7B8CA989059109888B57676D7FD60D675CJ936K" TargetMode="External"/><Relationship Id="rId14" Type="http://schemas.openxmlformats.org/officeDocument/2006/relationships/hyperlink" Target="consultantplus://offline/ref=97761E39B01512DCF316B0E32B493BACAC5A9BCB5209EF7B8CA989059109888B57676D7FD60D675DJ93DK" TargetMode="External"/><Relationship Id="rId22" Type="http://schemas.openxmlformats.org/officeDocument/2006/relationships/hyperlink" Target="consultantplus://offline/ref=97761E39B01512DCF316B0E32B493BACAC5A9BCB5209EF7B8CA989059109888B57676D7FD60D675DJ93FK" TargetMode="External"/><Relationship Id="rId27" Type="http://schemas.openxmlformats.org/officeDocument/2006/relationships/hyperlink" Target="consultantplus://offline/ref=97761E39B01512DCF316B0E32B493BACAC5A9BCB5209EF7B8CA989059109888B57676D7FD60D6758J93FK" TargetMode="External"/><Relationship Id="rId30" Type="http://schemas.openxmlformats.org/officeDocument/2006/relationships/hyperlink" Target="consultantplus://offline/ref=97761E39B01512DCF316B0E32B493BACAC5A9BCB5209EF7B8CA989059109888B57676D7FD60D6758J93FK" TargetMode="External"/><Relationship Id="rId35" Type="http://schemas.openxmlformats.org/officeDocument/2006/relationships/hyperlink" Target="consultantplus://offline/ref=97761E39B01512DCF316B0E32B493BACAC5A9ACA520DEF7B8CA989059109888B57676D7FD60C655AJ93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1424</Words>
  <Characters>8121</Characters>
  <Application>Microsoft Office Word</Application>
  <DocSecurity>0</DocSecurity>
  <Lines>67</Lines>
  <Paragraphs>19</Paragraphs>
  <ScaleCrop>false</ScaleCrop>
  <Company>*</Company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Stepenenko</dc:creator>
  <cp:lastModifiedBy>Stepenenko</cp:lastModifiedBy>
  <cp:revision>2</cp:revision>
  <dcterms:created xsi:type="dcterms:W3CDTF">2014-10-10T10:55:00Z</dcterms:created>
  <dcterms:modified xsi:type="dcterms:W3CDTF">2014-10-10T10:59:00Z</dcterms:modified>
</cp:coreProperties>
</file>